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515E" w14:textId="77777777" w:rsidR="00DD3390" w:rsidRPr="00DD3390" w:rsidRDefault="00DD3390" w:rsidP="00DD3390">
      <w:pPr>
        <w:spacing w:after="160" w:line="259" w:lineRule="auto"/>
        <w:jc w:val="both"/>
        <w:rPr>
          <w:rFonts w:ascii="Century Gothic" w:hAnsi="Century Gothic" w:cs="Times New Roman"/>
          <w:lang w:val="es-ES" w:eastAsia="en-US"/>
        </w:rPr>
      </w:pPr>
      <w:r w:rsidRPr="00DD3390">
        <w:rPr>
          <w:rFonts w:ascii="Century Gothic" w:hAnsi="Century Gothic" w:cs="Times New Roman"/>
          <w:noProof/>
          <w:lang w:eastAsia="en-US"/>
        </w:rPr>
        <mc:AlternateContent>
          <mc:Choice Requires="wps">
            <w:drawing>
              <wp:anchor distT="0" distB="0" distL="114300" distR="114300" simplePos="0" relativeHeight="251659264" behindDoc="0" locked="0" layoutInCell="1" allowOverlap="1" wp14:anchorId="472A942B" wp14:editId="478321D2">
                <wp:simplePos x="0" y="0"/>
                <wp:positionH relativeFrom="margin">
                  <wp:align>center</wp:align>
                </wp:positionH>
                <wp:positionV relativeFrom="paragraph">
                  <wp:posOffset>13970</wp:posOffset>
                </wp:positionV>
                <wp:extent cx="4910455" cy="619125"/>
                <wp:effectExtent l="0" t="0" r="0" b="9525"/>
                <wp:wrapNone/>
                <wp:docPr id="110" name="Rectángulo 110"/>
                <wp:cNvGraphicFramePr/>
                <a:graphic xmlns:a="http://schemas.openxmlformats.org/drawingml/2006/main">
                  <a:graphicData uri="http://schemas.microsoft.com/office/word/2010/wordprocessingShape">
                    <wps:wsp>
                      <wps:cNvSpPr/>
                      <wps:spPr>
                        <a:xfrm>
                          <a:off x="0" y="0"/>
                          <a:ext cx="4910455" cy="619125"/>
                        </a:xfrm>
                        <a:prstGeom prst="rect">
                          <a:avLst/>
                        </a:prstGeom>
                        <a:noFill/>
                        <a:ln>
                          <a:noFill/>
                        </a:ln>
                        <a:effectLst/>
                      </wps:spPr>
                      <wps:txbx>
                        <w:txbxContent>
                          <w:p w14:paraId="053048F3" w14:textId="77777777" w:rsidR="00DD3390" w:rsidRPr="004A066B" w:rsidRDefault="00DD3390" w:rsidP="00DD3390">
                            <w:pPr>
                              <w:jc w:val="center"/>
                              <w:rPr>
                                <w:rFonts w:ascii="Century Gothic" w:hAnsi="Century Gothic"/>
                                <w:b/>
                                <w:bCs/>
                                <w:color w:val="000000"/>
                                <w:sz w:val="28"/>
                                <w:szCs w:val="28"/>
                                <w:lang w:val="es-ES"/>
                              </w:rPr>
                            </w:pPr>
                            <w:r w:rsidRPr="004A066B">
                              <w:rPr>
                                <w:rFonts w:ascii="Century Gothic" w:hAnsi="Century Gothic"/>
                                <w:b/>
                                <w:bCs/>
                                <w:color w:val="000000"/>
                                <w:sz w:val="28"/>
                                <w:szCs w:val="28"/>
                                <w:lang w:val="es-ES"/>
                              </w:rPr>
                              <w:t>REGLAMENTO PARA EL SERVICIO DE ÁRBITRO DE EMERGENCIA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A942B" id="Rectángulo 110" o:spid="_x0000_s1026" style="position:absolute;left:0;text-align:left;margin-left:0;margin-top:1.1pt;width:386.65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" filled="f" stroked="f">
                <v:textbox>
                  <w:txbxContent>
                    <w:p w14:paraId="053048F3" w14:textId="77777777" w:rsidR="00DD3390" w:rsidRPr="004A066B" w:rsidRDefault="00DD3390" w:rsidP="00DD3390">
                      <w:pPr>
                        <w:jc w:val="center"/>
                        <w:rPr>
                          <w:rFonts w:ascii="Century Gothic" w:hAnsi="Century Gothic"/>
                          <w:b/>
                          <w:bCs/>
                          <w:color w:val="000000"/>
                          <w:sz w:val="28"/>
                          <w:szCs w:val="28"/>
                          <w:lang w:val="es-ES"/>
                        </w:rPr>
                      </w:pPr>
                      <w:r w:rsidRPr="004A066B">
                        <w:rPr>
                          <w:rFonts w:ascii="Century Gothic" w:hAnsi="Century Gothic"/>
                          <w:b/>
                          <w:bCs/>
                          <w:color w:val="000000"/>
                          <w:sz w:val="28"/>
                          <w:szCs w:val="28"/>
                          <w:lang w:val="es-ES"/>
                        </w:rPr>
                        <w:t>REGLAMENTO PARA EL SERVICIO DE ÁRBITRO DE EMERGENCIA</w:t>
                      </w:r>
                    </w:p>
                  </w:txbxContent>
                </v:textbox>
                <w10:wrap anchorx="margin"/>
              </v:rect>
            </w:pict>
          </mc:Fallback>
        </mc:AlternateContent>
      </w:r>
    </w:p>
    <w:p w14:paraId="381D5ABE" w14:textId="77777777" w:rsidR="00DD3390" w:rsidRPr="00DD3390" w:rsidRDefault="00DD3390" w:rsidP="00DD3390">
      <w:pPr>
        <w:spacing w:after="160" w:line="259" w:lineRule="auto"/>
        <w:jc w:val="both"/>
        <w:rPr>
          <w:rFonts w:ascii="Century Gothic" w:hAnsi="Century Gothic" w:cs="Times New Roman"/>
          <w:lang w:val="es-ES" w:eastAsia="en-US"/>
        </w:rPr>
      </w:pPr>
    </w:p>
    <w:p w14:paraId="592EEB76" w14:textId="77777777" w:rsidR="00DD3390" w:rsidRPr="00DD3390" w:rsidRDefault="00DD3390" w:rsidP="00DD3390">
      <w:pPr>
        <w:spacing w:after="160" w:line="259" w:lineRule="auto"/>
        <w:jc w:val="both"/>
        <w:rPr>
          <w:rFonts w:ascii="Century Gothic" w:hAnsi="Century Gothic" w:cs="Times New Roman"/>
          <w:lang w:val="es-ES" w:eastAsia="en-US"/>
        </w:rPr>
      </w:pPr>
    </w:p>
    <w:p w14:paraId="7CFB4E75" w14:textId="77777777" w:rsidR="00DD3390" w:rsidRPr="00DD3390" w:rsidRDefault="00DD3390" w:rsidP="00DD3390">
      <w:pPr>
        <w:spacing w:after="160" w:line="259" w:lineRule="auto"/>
        <w:jc w:val="both"/>
        <w:rPr>
          <w:rFonts w:ascii="Century Gothic" w:hAnsi="Century Gothic" w:cs="Times New Roman"/>
          <w:b/>
          <w:bCs/>
          <w:u w:val="single"/>
          <w:lang w:val="es-ES" w:eastAsia="en-US"/>
        </w:rPr>
      </w:pPr>
      <w:r w:rsidRPr="00DD3390">
        <w:rPr>
          <w:rFonts w:ascii="Century Gothic" w:hAnsi="Century Gothic" w:cs="Times New Roman"/>
          <w:b/>
          <w:bCs/>
          <w:u w:val="single"/>
          <w:lang w:eastAsia="en-US"/>
        </w:rPr>
        <w:t xml:space="preserve">ARTÍCULO 1°. – </w:t>
      </w:r>
      <w:r w:rsidRPr="00DD3390">
        <w:rPr>
          <w:rFonts w:ascii="Century Gothic" w:hAnsi="Century Gothic" w:cs="Times New Roman"/>
          <w:b/>
          <w:bCs/>
          <w:u w:val="single"/>
          <w:lang w:val="es-ES" w:eastAsia="en-US"/>
        </w:rPr>
        <w:t xml:space="preserve">ARBITRO DE EMERGENCIA </w:t>
      </w:r>
    </w:p>
    <w:p w14:paraId="4FFDC754"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 xml:space="preserve">Por su solo sometimiento al arbitraje institucional administrado y organizado por el Centro, cualquiera de las partes que se encuentre en situación de urgencia podrá solicitar el nombramiento de un Árbitro de Emergencia para que dicte las medidas correspondientes, de conformidad a lo dispuesto en la presente Directiva. </w:t>
      </w:r>
    </w:p>
    <w:p w14:paraId="55D4BFD9"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Se entiende como urgencia, aquella situación que no pueda esperar hasta la constitución del Tribunal Arbitral.</w:t>
      </w:r>
    </w:p>
    <w:p w14:paraId="5DD0DBF8"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 xml:space="preserve">El Árbitro de Emergencia será competente hasta producida la constitución del Tribunal Arbitral. </w:t>
      </w:r>
    </w:p>
    <w:p w14:paraId="3093A7C4" w14:textId="77777777" w:rsid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La Solicitud de Árbitro de Emergencia puede presentarse antes, después o conjuntamente con la solicitud de arbitraje.</w:t>
      </w:r>
    </w:p>
    <w:p w14:paraId="78543ED8" w14:textId="7380DE1D" w:rsidR="003C2886" w:rsidRDefault="003C2886" w:rsidP="003C2886">
      <w:pPr>
        <w:spacing w:after="160" w:line="259" w:lineRule="auto"/>
        <w:jc w:val="both"/>
        <w:rPr>
          <w:rFonts w:ascii="Century Gothic" w:hAnsi="Century Gothic" w:cs="Times New Roman"/>
          <w:b/>
          <w:bCs/>
          <w:u w:val="single"/>
          <w:lang w:val="es-ES" w:eastAsia="en-US"/>
        </w:rPr>
      </w:pPr>
      <w:r w:rsidRPr="00DD3390">
        <w:rPr>
          <w:rFonts w:ascii="Century Gothic" w:hAnsi="Century Gothic" w:cs="Times New Roman"/>
          <w:b/>
          <w:bCs/>
          <w:u w:val="single"/>
          <w:lang w:eastAsia="en-US"/>
        </w:rPr>
        <w:t xml:space="preserve">ARTÍCULO </w:t>
      </w:r>
      <w:r>
        <w:rPr>
          <w:rFonts w:ascii="Century Gothic" w:hAnsi="Century Gothic" w:cs="Times New Roman"/>
          <w:b/>
          <w:bCs/>
          <w:u w:val="single"/>
          <w:lang w:eastAsia="en-US"/>
        </w:rPr>
        <w:t>2</w:t>
      </w:r>
      <w:r w:rsidRPr="00DD3390">
        <w:rPr>
          <w:rFonts w:ascii="Century Gothic" w:hAnsi="Century Gothic" w:cs="Times New Roman"/>
          <w:b/>
          <w:bCs/>
          <w:u w:val="single"/>
          <w:lang w:eastAsia="en-US"/>
        </w:rPr>
        <w:t xml:space="preserve">°. – </w:t>
      </w:r>
      <w:r>
        <w:rPr>
          <w:rFonts w:ascii="Century Gothic" w:hAnsi="Century Gothic" w:cs="Times New Roman"/>
          <w:b/>
          <w:bCs/>
          <w:u w:val="single"/>
          <w:lang w:val="es-ES" w:eastAsia="en-US"/>
        </w:rPr>
        <w:t xml:space="preserve"> LUGAR DEL ARBITRAJE </w:t>
      </w:r>
    </w:p>
    <w:p w14:paraId="23107CC9" w14:textId="14D17DF8" w:rsidR="003C2886" w:rsidRPr="00A02547" w:rsidRDefault="00A02547" w:rsidP="003C2886">
      <w:pPr>
        <w:spacing w:after="160" w:line="259" w:lineRule="auto"/>
        <w:jc w:val="both"/>
        <w:rPr>
          <w:rFonts w:ascii="Century Gothic" w:hAnsi="Century Gothic" w:cs="Times New Roman"/>
          <w:lang w:eastAsia="en-US"/>
        </w:rPr>
      </w:pPr>
      <w:r w:rsidRPr="00A02547">
        <w:rPr>
          <w:rFonts w:ascii="Century Gothic" w:hAnsi="Century Gothic" w:cs="Times New Roman"/>
          <w:lang w:eastAsia="en-US"/>
        </w:rPr>
        <w:t>La sede del procedimiento del Árbitro de Emergencia e</w:t>
      </w:r>
      <w:r>
        <w:rPr>
          <w:rFonts w:ascii="Century Gothic" w:hAnsi="Century Gothic" w:cs="Times New Roman"/>
          <w:lang w:eastAsia="en-US"/>
        </w:rPr>
        <w:t xml:space="preserve">s </w:t>
      </w:r>
      <w:r w:rsidRPr="00A02547">
        <w:rPr>
          <w:rFonts w:ascii="Century Gothic" w:hAnsi="Century Gothic" w:cs="Times New Roman"/>
          <w:lang w:eastAsia="en-US"/>
        </w:rPr>
        <w:t>en la ciudad del Cusco.</w:t>
      </w:r>
    </w:p>
    <w:p w14:paraId="2B3A1242" w14:textId="554887FB" w:rsidR="003C2886" w:rsidRPr="00DD3390" w:rsidRDefault="00A02547" w:rsidP="00DD3390">
      <w:pPr>
        <w:spacing w:after="160" w:line="259" w:lineRule="auto"/>
        <w:jc w:val="both"/>
        <w:rPr>
          <w:rFonts w:ascii="Century Gothic" w:hAnsi="Century Gothic" w:cs="Times New Roman"/>
          <w:lang w:eastAsia="en-US"/>
        </w:rPr>
      </w:pPr>
      <w:r w:rsidRPr="00A02547">
        <w:rPr>
          <w:rFonts w:ascii="Century Gothic" w:hAnsi="Century Gothic" w:cs="Times New Roman"/>
          <w:lang w:eastAsia="en-US"/>
        </w:rPr>
        <w:t>Toda reunión o comunicación relativa al procedimiento de arbitro de emergencia se llevará a cabo de manera presencial o virtual, o cualquier</w:t>
      </w:r>
      <w:r>
        <w:rPr>
          <w:rFonts w:ascii="Century Gothic" w:hAnsi="Century Gothic" w:cs="Times New Roman"/>
          <w:lang w:eastAsia="en-US"/>
        </w:rPr>
        <w:t xml:space="preserve"> otro</w:t>
      </w:r>
      <w:r w:rsidRPr="00A02547">
        <w:rPr>
          <w:rFonts w:ascii="Century Gothic" w:hAnsi="Century Gothic" w:cs="Times New Roman"/>
          <w:lang w:eastAsia="en-US"/>
        </w:rPr>
        <w:t xml:space="preserve"> modo que se considere idóneo. </w:t>
      </w:r>
    </w:p>
    <w:p w14:paraId="2B97C88C" w14:textId="377E5143"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 xml:space="preserve">ARTÍCULO </w:t>
      </w:r>
      <w:r w:rsidR="00A02547">
        <w:rPr>
          <w:rFonts w:ascii="Century Gothic" w:hAnsi="Century Gothic" w:cs="Times New Roman"/>
          <w:b/>
          <w:bCs/>
          <w:u w:val="single"/>
          <w:lang w:eastAsia="en-US"/>
        </w:rPr>
        <w:t>3</w:t>
      </w:r>
      <w:r w:rsidRPr="00DD3390">
        <w:rPr>
          <w:rFonts w:ascii="Century Gothic" w:hAnsi="Century Gothic" w:cs="Times New Roman"/>
          <w:b/>
          <w:bCs/>
          <w:u w:val="single"/>
          <w:lang w:eastAsia="en-US"/>
        </w:rPr>
        <w:t>°. – MEDIDAS DE EMERGENCIA</w:t>
      </w:r>
    </w:p>
    <w:p w14:paraId="78F55B21" w14:textId="77C01FD1" w:rsid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 xml:space="preserve">El Árbitro de Emergencia dictará la Orden a la que se refiere el artículo </w:t>
      </w:r>
      <w:r w:rsidR="003C2886">
        <w:rPr>
          <w:rFonts w:ascii="Century Gothic" w:hAnsi="Century Gothic" w:cs="Times New Roman"/>
          <w:lang w:eastAsia="en-US"/>
        </w:rPr>
        <w:t>9</w:t>
      </w:r>
      <w:r w:rsidRPr="00DD3390">
        <w:rPr>
          <w:rFonts w:ascii="Century Gothic" w:hAnsi="Century Gothic" w:cs="Times New Roman"/>
          <w:lang w:eastAsia="en-US"/>
        </w:rPr>
        <w:t xml:space="preserve">° con sujeción a las condiciones que considere necesarias, incluyendo el otorgamiento de garantías apropiadas.  </w:t>
      </w:r>
    </w:p>
    <w:p w14:paraId="3EAF1F1E" w14:textId="4B021178" w:rsidR="00F164C0" w:rsidRPr="00DD3390" w:rsidRDefault="00F164C0" w:rsidP="00DD3390">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El Árbitro velara por cada una de las partes tenga una oportunidad razonable de presentar su posición en lo concerniente a la solitud de medidas de emergencia. </w:t>
      </w:r>
    </w:p>
    <w:p w14:paraId="77B5EAA2" w14:textId="1ABE68D1"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 xml:space="preserve">ARTÍCULO </w:t>
      </w:r>
      <w:r w:rsidR="00A02547">
        <w:rPr>
          <w:rFonts w:ascii="Century Gothic" w:hAnsi="Century Gothic" w:cs="Times New Roman"/>
          <w:b/>
          <w:bCs/>
          <w:u w:val="single"/>
          <w:lang w:eastAsia="en-US"/>
        </w:rPr>
        <w:t>4</w:t>
      </w:r>
      <w:r w:rsidRPr="00DD3390">
        <w:rPr>
          <w:rFonts w:ascii="Century Gothic" w:hAnsi="Century Gothic" w:cs="Times New Roman"/>
          <w:b/>
          <w:bCs/>
          <w:u w:val="single"/>
          <w:lang w:eastAsia="en-US"/>
        </w:rPr>
        <w:t>°. – SOLICITUD</w:t>
      </w:r>
    </w:p>
    <w:p w14:paraId="18F74D8D" w14:textId="77777777" w:rsidR="00DD3390" w:rsidRPr="00DD3390" w:rsidRDefault="00DD3390" w:rsidP="00DD3390">
      <w:pPr>
        <w:numPr>
          <w:ilvl w:val="0"/>
          <w:numId w:val="12"/>
        </w:numPr>
        <w:spacing w:after="160" w:line="259" w:lineRule="auto"/>
        <w:contextualSpacing/>
        <w:jc w:val="both"/>
        <w:rPr>
          <w:rFonts w:ascii="Century Gothic" w:hAnsi="Century Gothic" w:cs="Times New Roman"/>
          <w:lang w:eastAsia="en-US"/>
        </w:rPr>
      </w:pPr>
      <w:r w:rsidRPr="00DD3390">
        <w:rPr>
          <w:rFonts w:ascii="Century Gothic" w:hAnsi="Century Gothic" w:cs="Times New Roman"/>
          <w:lang w:eastAsia="en-US"/>
        </w:rPr>
        <w:t>La solicitud deberá contener los siguientes requisitos:</w:t>
      </w:r>
    </w:p>
    <w:p w14:paraId="6266E812" w14:textId="77777777" w:rsidR="00DD3390" w:rsidRPr="00DD3390" w:rsidRDefault="00DD3390" w:rsidP="00DD3390">
      <w:pPr>
        <w:spacing w:after="160" w:line="259" w:lineRule="auto"/>
        <w:ind w:left="780"/>
        <w:contextualSpacing/>
        <w:jc w:val="both"/>
        <w:rPr>
          <w:rFonts w:ascii="Century Gothic" w:hAnsi="Century Gothic" w:cs="Times New Roman"/>
          <w:lang w:eastAsia="en-US"/>
        </w:rPr>
      </w:pPr>
    </w:p>
    <w:p w14:paraId="20E1F02E" w14:textId="77777777" w:rsidR="00DD3390" w:rsidRPr="00DD3390" w:rsidRDefault="00DD3390" w:rsidP="00DD3390">
      <w:pPr>
        <w:numPr>
          <w:ilvl w:val="0"/>
          <w:numId w:val="11"/>
        </w:numPr>
        <w:spacing w:after="160" w:line="259" w:lineRule="auto"/>
        <w:ind w:left="1276" w:hanging="283"/>
        <w:contextualSpacing/>
        <w:jc w:val="both"/>
        <w:rPr>
          <w:rFonts w:ascii="Century Gothic" w:hAnsi="Century Gothic" w:cs="Times New Roman"/>
          <w:lang w:eastAsia="en-US"/>
        </w:rPr>
      </w:pPr>
      <w:r w:rsidRPr="00DD3390">
        <w:rPr>
          <w:rFonts w:ascii="Century Gothic" w:hAnsi="Century Gothic" w:cs="Times New Roman"/>
          <w:lang w:eastAsia="en-US"/>
        </w:rPr>
        <w:t>La identificación del solicitante, indicando su nombre completo, el número de su documento de identidad, así como una copia del documento oficial de identidad correspondiente.</w:t>
      </w:r>
    </w:p>
    <w:p w14:paraId="16C7CEEF" w14:textId="77777777" w:rsidR="00DD3390" w:rsidRPr="00DD3390" w:rsidRDefault="00DD3390" w:rsidP="00DD3390">
      <w:pPr>
        <w:spacing w:after="160" w:line="259" w:lineRule="auto"/>
        <w:ind w:left="1276"/>
        <w:contextualSpacing/>
        <w:jc w:val="both"/>
        <w:rPr>
          <w:rFonts w:ascii="Century Gothic" w:hAnsi="Century Gothic" w:cs="Times New Roman"/>
          <w:lang w:eastAsia="en-US"/>
        </w:rPr>
      </w:pPr>
      <w:r w:rsidRPr="00DD3390">
        <w:rPr>
          <w:rFonts w:ascii="Century Gothic" w:hAnsi="Century Gothic" w:cs="Times New Roman"/>
          <w:lang w:eastAsia="en-US"/>
        </w:rPr>
        <w:t xml:space="preserve">En el caso de personas jurídicas se debe señalar la razón o denominación social, los datos de su inscripción en registros públicos, nombre del representante legal y número de su </w:t>
      </w:r>
      <w:r w:rsidRPr="00DD3390">
        <w:rPr>
          <w:rFonts w:ascii="Century Gothic" w:hAnsi="Century Gothic" w:cs="Times New Roman"/>
          <w:lang w:eastAsia="en-US"/>
        </w:rPr>
        <w:lastRenderedPageBreak/>
        <w:t>documento de identidad, presentando copia de los documentos pertinentes.</w:t>
      </w:r>
    </w:p>
    <w:p w14:paraId="0A5A5F79" w14:textId="77777777" w:rsidR="00DD3390" w:rsidRPr="00DD3390" w:rsidRDefault="00DD3390" w:rsidP="00DD3390">
      <w:pPr>
        <w:spacing w:after="160" w:line="259" w:lineRule="auto"/>
        <w:ind w:left="1276"/>
        <w:contextualSpacing/>
        <w:jc w:val="both"/>
        <w:rPr>
          <w:rFonts w:ascii="Century Gothic" w:hAnsi="Century Gothic" w:cs="Times New Roman"/>
          <w:lang w:eastAsia="en-US"/>
        </w:rPr>
      </w:pPr>
      <w:r w:rsidRPr="00DD3390">
        <w:rPr>
          <w:rFonts w:ascii="Century Gothic" w:hAnsi="Century Gothic" w:cs="Times New Roman"/>
          <w:lang w:eastAsia="en-US"/>
        </w:rPr>
        <w:t>En los casos en que una parte actúe mediante representante, el poder deberá acreditarse mediante copia certificada de la Escritura Pública, acta legalizada o, en su defecto, con la copia literal expedida por los Registros Públicos.</w:t>
      </w:r>
    </w:p>
    <w:p w14:paraId="480D64B9" w14:textId="77777777" w:rsidR="00DD3390" w:rsidRPr="00DD3390" w:rsidRDefault="00DD3390" w:rsidP="00DD3390">
      <w:pPr>
        <w:numPr>
          <w:ilvl w:val="0"/>
          <w:numId w:val="11"/>
        </w:numPr>
        <w:spacing w:after="160" w:line="259" w:lineRule="auto"/>
        <w:ind w:left="1276" w:hanging="283"/>
        <w:contextualSpacing/>
        <w:jc w:val="both"/>
        <w:rPr>
          <w:rFonts w:ascii="Century Gothic" w:hAnsi="Century Gothic" w:cs="Times New Roman"/>
          <w:lang w:eastAsia="en-US"/>
        </w:rPr>
      </w:pPr>
      <w:r w:rsidRPr="00DD3390">
        <w:rPr>
          <w:rFonts w:ascii="Century Gothic" w:hAnsi="Century Gothic" w:cs="Times New Roman"/>
          <w:lang w:eastAsia="en-US"/>
        </w:rPr>
        <w:t>La dirección conforme a lo establecido en el presente Reglamento, así como un número de teléfono y correo electrónico. El nombre y domicilio del demandado, y el correo electrónico de éste, si se conoce, así como cualquier otro dato relativo a su identificación que permita su adecuada notificación.</w:t>
      </w:r>
    </w:p>
    <w:p w14:paraId="44DDD6C9" w14:textId="77777777" w:rsidR="00DD3390" w:rsidRPr="00DD3390" w:rsidRDefault="00DD3390" w:rsidP="00DD3390">
      <w:pPr>
        <w:numPr>
          <w:ilvl w:val="0"/>
          <w:numId w:val="11"/>
        </w:numPr>
        <w:spacing w:after="160" w:line="259" w:lineRule="auto"/>
        <w:ind w:left="1276" w:hanging="283"/>
        <w:contextualSpacing/>
        <w:jc w:val="both"/>
        <w:rPr>
          <w:rFonts w:ascii="Century Gothic" w:hAnsi="Century Gothic" w:cs="Times New Roman"/>
          <w:lang w:eastAsia="en-US"/>
        </w:rPr>
      </w:pPr>
      <w:r w:rsidRPr="00DD3390">
        <w:rPr>
          <w:rFonts w:ascii="Century Gothic" w:hAnsi="Century Gothic" w:cs="Times New Roman"/>
          <w:lang w:eastAsia="en-US"/>
        </w:rPr>
        <w:t>Copia del documento en el que conste el convenio arbitral o evidencia del compromiso escrito por las partes para someter sus controversias al Arbitraje Institucional o, en su caso, la intención del solicitante de someter a arbitraje una controversia determinada, de no existir convenio arbitral. De ser el caso, indicar con precisión cualquier disposición o regla pactada por las partes distinta a la del Reglamento del Centro “Arbitra solución".</w:t>
      </w:r>
    </w:p>
    <w:p w14:paraId="0D85C519" w14:textId="77777777" w:rsidR="00DD3390" w:rsidRPr="00DD3390" w:rsidRDefault="00DD3390" w:rsidP="00DD3390">
      <w:pPr>
        <w:numPr>
          <w:ilvl w:val="0"/>
          <w:numId w:val="11"/>
        </w:numPr>
        <w:spacing w:after="160" w:line="259" w:lineRule="auto"/>
        <w:ind w:left="1276" w:hanging="283"/>
        <w:contextualSpacing/>
        <w:jc w:val="both"/>
        <w:rPr>
          <w:rFonts w:ascii="Century Gothic" w:hAnsi="Century Gothic" w:cs="Times New Roman"/>
          <w:lang w:eastAsia="en-US"/>
        </w:rPr>
      </w:pPr>
      <w:r w:rsidRPr="00DD3390">
        <w:rPr>
          <w:rFonts w:ascii="Century Gothic" w:hAnsi="Century Gothic" w:cs="Times New Roman"/>
          <w:lang w:eastAsia="en-US"/>
        </w:rPr>
        <w:t>Un breve resumen de la controversia, desavenencia o cuestiones que se desee someter a arbitraje, con una exposición clara de los hechos, indicando las posibles pretensiones y la cuantía correspondiente.</w:t>
      </w:r>
    </w:p>
    <w:p w14:paraId="5FE70F05" w14:textId="77777777" w:rsidR="00DD3390" w:rsidRPr="00DD3390" w:rsidRDefault="00DD3390" w:rsidP="00DD3390">
      <w:pPr>
        <w:numPr>
          <w:ilvl w:val="0"/>
          <w:numId w:val="11"/>
        </w:numPr>
        <w:spacing w:after="160" w:line="259" w:lineRule="auto"/>
        <w:ind w:left="1276" w:hanging="283"/>
        <w:contextualSpacing/>
        <w:jc w:val="both"/>
        <w:rPr>
          <w:rFonts w:ascii="Century Gothic" w:hAnsi="Century Gothic" w:cs="Times New Roman"/>
          <w:lang w:eastAsia="en-US"/>
        </w:rPr>
      </w:pPr>
      <w:r w:rsidRPr="00DD3390">
        <w:rPr>
          <w:rFonts w:ascii="Century Gothic" w:hAnsi="Century Gothic" w:cs="Times New Roman"/>
          <w:lang w:eastAsia="en-US"/>
        </w:rPr>
        <w:t xml:space="preserve">La </w:t>
      </w:r>
      <w:proofErr w:type="spellStart"/>
      <w:r w:rsidRPr="00DD3390">
        <w:rPr>
          <w:rFonts w:ascii="Century Gothic" w:hAnsi="Century Gothic" w:cs="Times New Roman"/>
          <w:lang w:eastAsia="en-US"/>
        </w:rPr>
        <w:t>contracautela</w:t>
      </w:r>
      <w:proofErr w:type="spellEnd"/>
      <w:r w:rsidRPr="00DD3390">
        <w:rPr>
          <w:rFonts w:ascii="Century Gothic" w:hAnsi="Century Gothic" w:cs="Times New Roman"/>
          <w:lang w:eastAsia="en-US"/>
        </w:rPr>
        <w:t xml:space="preserve"> puede ser de naturaleza real o personal. Dentro de la segunda se incluye la caución juratoria, que será ofrecida en el escrito que contiene la solicitud de medida cautelar, con legalización de firma ante Notario Público.</w:t>
      </w:r>
    </w:p>
    <w:p w14:paraId="3E3822D6" w14:textId="77777777" w:rsidR="00DD3390" w:rsidRPr="00DD3390" w:rsidRDefault="00DD3390" w:rsidP="00DD3390">
      <w:pPr>
        <w:spacing w:after="160" w:line="259" w:lineRule="auto"/>
        <w:ind w:left="1276"/>
        <w:contextualSpacing/>
        <w:jc w:val="both"/>
        <w:rPr>
          <w:rFonts w:ascii="Century Gothic" w:hAnsi="Century Gothic" w:cs="Times New Roman"/>
          <w:lang w:eastAsia="en-US"/>
        </w:rPr>
      </w:pPr>
    </w:p>
    <w:p w14:paraId="0A9D346D" w14:textId="77777777" w:rsidR="00DD3390" w:rsidRPr="00DD3390" w:rsidRDefault="00DD3390" w:rsidP="00DD3390">
      <w:pPr>
        <w:numPr>
          <w:ilvl w:val="0"/>
          <w:numId w:val="12"/>
        </w:numPr>
        <w:spacing w:after="160" w:line="259" w:lineRule="auto"/>
        <w:contextualSpacing/>
        <w:jc w:val="both"/>
        <w:rPr>
          <w:rFonts w:ascii="Century Gothic" w:hAnsi="Century Gothic" w:cs="Times New Roman"/>
          <w:lang w:eastAsia="en-US"/>
        </w:rPr>
      </w:pPr>
      <w:r w:rsidRPr="00DD3390">
        <w:rPr>
          <w:rFonts w:ascii="Century Gothic" w:hAnsi="Century Gothic" w:cs="Times New Roman"/>
          <w:lang w:eastAsia="en-US"/>
        </w:rPr>
        <w:t>Precisar las Medidas de Emergencia solicitadas y explicar las razones por las cuales el solicitante requiere que se emitan aquellas con carácter de urgencia.</w:t>
      </w:r>
    </w:p>
    <w:p w14:paraId="4BF0F46A" w14:textId="77777777" w:rsidR="00DD3390" w:rsidRPr="00DD3390" w:rsidRDefault="00DD3390" w:rsidP="00DD3390">
      <w:pPr>
        <w:spacing w:after="160" w:line="259" w:lineRule="auto"/>
        <w:ind w:left="780"/>
        <w:contextualSpacing/>
        <w:jc w:val="both"/>
        <w:rPr>
          <w:rFonts w:ascii="Century Gothic" w:hAnsi="Century Gothic" w:cs="Times New Roman"/>
          <w:lang w:eastAsia="en-US"/>
        </w:rPr>
      </w:pPr>
    </w:p>
    <w:p w14:paraId="75DD76E6" w14:textId="77777777" w:rsidR="00DD3390" w:rsidRPr="00DD3390" w:rsidRDefault="00DD3390" w:rsidP="00DD3390">
      <w:pPr>
        <w:numPr>
          <w:ilvl w:val="0"/>
          <w:numId w:val="12"/>
        </w:numPr>
        <w:spacing w:after="160" w:line="259" w:lineRule="auto"/>
        <w:contextualSpacing/>
        <w:jc w:val="both"/>
        <w:rPr>
          <w:rFonts w:ascii="Century Gothic" w:hAnsi="Century Gothic" w:cs="Times New Roman"/>
          <w:lang w:eastAsia="en-US"/>
        </w:rPr>
      </w:pPr>
      <w:r w:rsidRPr="00DD3390">
        <w:rPr>
          <w:rFonts w:ascii="Century Gothic" w:hAnsi="Century Gothic" w:cs="Times New Roman"/>
          <w:lang w:eastAsia="en-US"/>
        </w:rPr>
        <w:t>Informar cualquier solicitud de arbitraje y cualquier otro escrito en relación con la disputa subyacente, que haya sido presentado al Centro por cualquiera de las partes, anteriormente a la presentación de la solicitud.</w:t>
      </w:r>
    </w:p>
    <w:p w14:paraId="4C274114" w14:textId="77777777" w:rsidR="00DD3390" w:rsidRPr="00DD3390" w:rsidRDefault="00DD3390" w:rsidP="00DD3390">
      <w:pPr>
        <w:spacing w:after="160" w:line="259" w:lineRule="auto"/>
        <w:ind w:left="720"/>
        <w:contextualSpacing/>
        <w:rPr>
          <w:rFonts w:ascii="Century Gothic" w:hAnsi="Century Gothic" w:cs="Times New Roman"/>
          <w:lang w:eastAsia="en-US"/>
        </w:rPr>
      </w:pPr>
    </w:p>
    <w:p w14:paraId="18F868EC" w14:textId="77777777" w:rsidR="00DD3390" w:rsidRPr="00DD3390" w:rsidRDefault="00DD3390" w:rsidP="00DD3390">
      <w:pPr>
        <w:numPr>
          <w:ilvl w:val="0"/>
          <w:numId w:val="12"/>
        </w:numPr>
        <w:spacing w:after="160" w:line="259" w:lineRule="auto"/>
        <w:contextualSpacing/>
        <w:jc w:val="both"/>
        <w:rPr>
          <w:rFonts w:ascii="Century Gothic" w:hAnsi="Century Gothic" w:cs="Times New Roman"/>
          <w:lang w:eastAsia="en-US"/>
        </w:rPr>
      </w:pPr>
      <w:r w:rsidRPr="00DD3390">
        <w:rPr>
          <w:rFonts w:ascii="Century Gothic" w:hAnsi="Century Gothic" w:cs="Times New Roman"/>
          <w:lang w:eastAsia="en-US"/>
        </w:rPr>
        <w:t>Cualquier acuerdo sobre la sede del arbitraje o las normas jurídicas aplicables.</w:t>
      </w:r>
    </w:p>
    <w:p w14:paraId="0CDDD23F" w14:textId="77777777" w:rsidR="00DD3390" w:rsidRPr="00DD3390" w:rsidRDefault="00DD3390" w:rsidP="00DD3390">
      <w:pPr>
        <w:spacing w:after="160" w:line="259" w:lineRule="auto"/>
        <w:ind w:left="780"/>
        <w:contextualSpacing/>
        <w:jc w:val="both"/>
        <w:rPr>
          <w:rFonts w:ascii="Century Gothic" w:hAnsi="Century Gothic" w:cs="Times New Roman"/>
          <w:lang w:eastAsia="en-US"/>
        </w:rPr>
      </w:pPr>
    </w:p>
    <w:p w14:paraId="34D76A51" w14:textId="77777777" w:rsidR="00DD3390" w:rsidRPr="00DD3390" w:rsidRDefault="00DD3390" w:rsidP="00DD3390">
      <w:pPr>
        <w:numPr>
          <w:ilvl w:val="0"/>
          <w:numId w:val="12"/>
        </w:numPr>
        <w:spacing w:after="160" w:line="259" w:lineRule="auto"/>
        <w:contextualSpacing/>
        <w:jc w:val="both"/>
        <w:rPr>
          <w:rFonts w:ascii="Century Gothic" w:hAnsi="Century Gothic" w:cs="Times New Roman"/>
          <w:lang w:eastAsia="en-US"/>
        </w:rPr>
      </w:pPr>
      <w:r w:rsidRPr="00DD3390">
        <w:rPr>
          <w:rFonts w:ascii="Century Gothic" w:hAnsi="Century Gothic" w:cs="Times New Roman"/>
          <w:lang w:eastAsia="en-US"/>
        </w:rPr>
        <w:t>Pago de tasa correspondiente por la petición de designación de arbitro de emergencia.</w:t>
      </w:r>
    </w:p>
    <w:p w14:paraId="47167E71" w14:textId="77777777" w:rsidR="00DD3390" w:rsidRPr="00DD3390" w:rsidRDefault="00DD3390" w:rsidP="00DD3390">
      <w:pPr>
        <w:spacing w:after="160" w:line="259" w:lineRule="auto"/>
        <w:ind w:left="420"/>
        <w:jc w:val="both"/>
        <w:rPr>
          <w:rFonts w:ascii="Century Gothic" w:hAnsi="Century Gothic" w:cs="Times New Roman"/>
          <w:lang w:eastAsia="en-US"/>
        </w:rPr>
      </w:pPr>
      <w:r w:rsidRPr="00DD3390">
        <w:rPr>
          <w:rFonts w:ascii="Century Gothic" w:hAnsi="Century Gothic" w:cs="Times New Roman"/>
          <w:lang w:eastAsia="en-US"/>
        </w:rPr>
        <w:t>La Solicitud de Árbitro de Emergencia deberá presentarse en número de copias suficientes para cada parte, para el Centro y para el Árbitro de Emergencia.</w:t>
      </w:r>
    </w:p>
    <w:p w14:paraId="44FD86CC" w14:textId="77777777" w:rsidR="00DD3390" w:rsidRPr="00DD3390" w:rsidRDefault="00DD3390" w:rsidP="00DD3390">
      <w:pPr>
        <w:spacing w:after="160" w:line="259" w:lineRule="auto"/>
        <w:ind w:left="420"/>
        <w:jc w:val="both"/>
        <w:rPr>
          <w:rFonts w:ascii="Century Gothic" w:hAnsi="Century Gothic" w:cs="Times New Roman"/>
          <w:lang w:eastAsia="en-US"/>
        </w:rPr>
      </w:pPr>
      <w:r w:rsidRPr="00DD3390">
        <w:rPr>
          <w:rFonts w:ascii="Century Gothic" w:hAnsi="Century Gothic" w:cs="Times New Roman"/>
          <w:lang w:eastAsia="en-US"/>
        </w:rPr>
        <w:lastRenderedPageBreak/>
        <w:t>A excepción de la Solicitud de Árbitro de Emergencia, los demás escritos podrán ser presentados en físico o por correo electrónico, en el horario de atención del Centro.</w:t>
      </w:r>
    </w:p>
    <w:p w14:paraId="4D292077" w14:textId="77777777" w:rsidR="00DD3390" w:rsidRPr="00DD3390" w:rsidRDefault="00DD3390" w:rsidP="00DD3390">
      <w:pPr>
        <w:spacing w:after="160" w:line="259" w:lineRule="auto"/>
        <w:ind w:left="420"/>
        <w:jc w:val="both"/>
        <w:rPr>
          <w:rFonts w:ascii="Century Gothic" w:hAnsi="Century Gothic" w:cs="Times New Roman"/>
          <w:lang w:eastAsia="en-US"/>
        </w:rPr>
      </w:pPr>
      <w:r w:rsidRPr="00DD3390">
        <w:rPr>
          <w:rFonts w:ascii="Century Gothic" w:hAnsi="Century Gothic" w:cs="Times New Roman"/>
          <w:lang w:eastAsia="en-US"/>
        </w:rPr>
        <w:t xml:space="preserve">El Centro verificará que la solicitud de árbitro de emergencia cumpla con los requisitos establecidos en los literales a, b, c y d del presente artículo, en el plazo máximo de un (1) día hábil. En caso corresponda, se requerirá al solicitante la subsanación de su Solicitud de Árbitro de Emergencia, así como el pago de la tasa administrativa del Centro por concepto de Servicio de Árbitro de Emergencia; otorgándole para tales fines el plazo máximo de un (1) día hábil. </w:t>
      </w:r>
    </w:p>
    <w:p w14:paraId="3DCF65B3" w14:textId="77777777" w:rsidR="00DD3390" w:rsidRPr="00DD3390" w:rsidRDefault="00DD3390" w:rsidP="00DD3390">
      <w:pPr>
        <w:spacing w:after="160" w:line="259" w:lineRule="auto"/>
        <w:ind w:left="420"/>
        <w:jc w:val="both"/>
        <w:rPr>
          <w:rFonts w:ascii="Century Gothic" w:hAnsi="Century Gothic" w:cs="Times New Roman"/>
          <w:lang w:eastAsia="en-US"/>
        </w:rPr>
      </w:pPr>
      <w:r w:rsidRPr="00DD3390">
        <w:rPr>
          <w:rFonts w:ascii="Century Gothic" w:hAnsi="Century Gothic" w:cs="Times New Roman"/>
          <w:lang w:eastAsia="en-US"/>
        </w:rPr>
        <w:t>De no efectuar la subsanación, se procederá a archivar la solicitud, sin perjuicio del derecho del solicitante a presentar una nueva solicitud de ser aún oportuno.</w:t>
      </w:r>
    </w:p>
    <w:p w14:paraId="587D5027" w14:textId="2FFF98FC"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 xml:space="preserve">ARTÍCULO </w:t>
      </w:r>
      <w:r w:rsidR="00A02547">
        <w:rPr>
          <w:rFonts w:ascii="Century Gothic" w:hAnsi="Century Gothic" w:cs="Times New Roman"/>
          <w:b/>
          <w:bCs/>
          <w:u w:val="single"/>
          <w:lang w:eastAsia="en-US"/>
        </w:rPr>
        <w:t>5</w:t>
      </w:r>
      <w:r w:rsidRPr="00DD3390">
        <w:rPr>
          <w:rFonts w:ascii="Century Gothic" w:hAnsi="Century Gothic" w:cs="Times New Roman"/>
          <w:b/>
          <w:bCs/>
          <w:u w:val="single"/>
          <w:lang w:eastAsia="en-US"/>
        </w:rPr>
        <w:t>°. – DESIGNACIÓN DEL ARBITRO DE EMERGENCIA</w:t>
      </w:r>
    </w:p>
    <w:p w14:paraId="5A78D6FC" w14:textId="77777777" w:rsidR="00DD3390" w:rsidRPr="00DD3390" w:rsidRDefault="00DD3390" w:rsidP="00DD3390">
      <w:pPr>
        <w:tabs>
          <w:tab w:val="left" w:pos="2127"/>
        </w:tabs>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El Centro es el encargado de designar al Árbitro de Emergencia, quien debe pertenecer a la Nómina de Árbitros.</w:t>
      </w:r>
    </w:p>
    <w:p w14:paraId="68DC742F" w14:textId="77777777" w:rsidR="00DD3390" w:rsidRPr="00DD3390" w:rsidRDefault="00DD3390" w:rsidP="00DD3390">
      <w:pPr>
        <w:tabs>
          <w:tab w:val="left" w:pos="2127"/>
        </w:tabs>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Entre la presentación de la Solicitud de Árbitro de Emergencia y la aceptación del Árbitro de Emergencia debe transcurrir, como máximo, un plazo de dos (2) días hábiles.</w:t>
      </w:r>
    </w:p>
    <w:p w14:paraId="6C622BD4" w14:textId="77777777" w:rsidR="00DD3390" w:rsidRPr="00DD3390" w:rsidRDefault="00DD3390" w:rsidP="00DD3390">
      <w:pPr>
        <w:tabs>
          <w:tab w:val="left" w:pos="2127"/>
        </w:tabs>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Con la aceptación de la designación se considera constituido el Árbitro de Emergencia.</w:t>
      </w:r>
    </w:p>
    <w:p w14:paraId="0D384E6B" w14:textId="77777777" w:rsidR="00DD3390" w:rsidRPr="00DD3390" w:rsidRDefault="00DD3390" w:rsidP="00DD3390">
      <w:pPr>
        <w:tabs>
          <w:tab w:val="left" w:pos="2127"/>
        </w:tabs>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Conjuntamente con su aceptación, el Árbitro de Emergencia deberá pronunciarse sobre la necesidad o no de poner en conocimiento la solicitud de Medida de Emergencia a la contraparte, en caso corresponda.</w:t>
      </w:r>
    </w:p>
    <w:p w14:paraId="44250FA6" w14:textId="77777777" w:rsidR="00DD3390" w:rsidRPr="00DD3390" w:rsidRDefault="00DD3390" w:rsidP="00DD3390">
      <w:pPr>
        <w:tabs>
          <w:tab w:val="left" w:pos="2127"/>
        </w:tabs>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Si el Árbitro de Emergencia decide que la medida debe ser tramitada con conocimiento de la contraparte, se correrá traslado a fin de que dicha parte se pronuncie en un plazo de hasta dos (2) días hábiles. Vencido el plazo otorgado, con la absolución de la contraparte o sin ella, el árbitro deberá resolver el pedido cautelar presentado; en un plazo máximo de dos (2) días hábiles.</w:t>
      </w:r>
    </w:p>
    <w:p w14:paraId="75DBD809" w14:textId="265E89C1" w:rsidR="00DD3390" w:rsidRPr="00DD3390" w:rsidRDefault="00DD3390" w:rsidP="00DD3390">
      <w:pPr>
        <w:tabs>
          <w:tab w:val="left" w:pos="2127"/>
        </w:tabs>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El Árbitro de Emergencia deberá proceder a evaluar la solicitud de Medida de Emergencia y podrá admitir y/o solicitar medios probatorios si lo estima conveniente, otorgando para dichos efectos un plazo razonable de acuerdo a la naturaleza urgente de la solicitud.</w:t>
      </w:r>
    </w:p>
    <w:p w14:paraId="0DFBCF14" w14:textId="47C1EA85"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 xml:space="preserve">ARTÍCULO </w:t>
      </w:r>
      <w:r w:rsidR="00A02547">
        <w:rPr>
          <w:rFonts w:ascii="Century Gothic" w:hAnsi="Century Gothic" w:cs="Times New Roman"/>
          <w:b/>
          <w:bCs/>
          <w:u w:val="single"/>
          <w:lang w:eastAsia="en-US"/>
        </w:rPr>
        <w:t>6</w:t>
      </w:r>
      <w:r w:rsidRPr="00DD3390">
        <w:rPr>
          <w:rFonts w:ascii="Century Gothic" w:hAnsi="Century Gothic" w:cs="Times New Roman"/>
          <w:b/>
          <w:bCs/>
          <w:u w:val="single"/>
          <w:lang w:eastAsia="en-US"/>
        </w:rPr>
        <w:t>°. – CONCLUSIÓN DE LAS ACTUACIONES</w:t>
      </w:r>
    </w:p>
    <w:p w14:paraId="1043E4D8"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Si dentro del plazo de diez (10) días hábiles, desde emitida la Resolución que contiene la Medida de Emergencia el solicitante no presenta la Solicitud de Arbitraje correspondiente, dicha medida caducará.</w:t>
      </w:r>
    </w:p>
    <w:p w14:paraId="17AEFD40" w14:textId="6B71A968"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lastRenderedPageBreak/>
        <w:t xml:space="preserve">ARTÍCULO </w:t>
      </w:r>
      <w:r w:rsidR="00A02547">
        <w:rPr>
          <w:rFonts w:ascii="Century Gothic" w:hAnsi="Century Gothic" w:cs="Times New Roman"/>
          <w:b/>
          <w:bCs/>
          <w:u w:val="single"/>
          <w:lang w:eastAsia="en-US"/>
        </w:rPr>
        <w:t>7</w:t>
      </w:r>
      <w:r w:rsidRPr="00DD3390">
        <w:rPr>
          <w:rFonts w:ascii="Century Gothic" w:hAnsi="Century Gothic" w:cs="Times New Roman"/>
          <w:b/>
          <w:bCs/>
          <w:u w:val="single"/>
          <w:lang w:eastAsia="en-US"/>
        </w:rPr>
        <w:t>°. – IMPARCIALIDAD E INDEPENDENCIA</w:t>
      </w:r>
    </w:p>
    <w:p w14:paraId="2F363E5E"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Todo Árbitro de Emergencia deberá ser y permanecer imparcial e independiente de las partes involucradas desde su designación, por lo que no podrá desempeñarse como abogado de alguna de las partes, árbitro designado por una parte o por los árbitros de parte, en ningún arbitraje relacionado con la controversia. Son aplicables al Árbitro de Emergencia todas las disposiciones establecidas en el Reglamento de Arbitraje y el Código de Ética que correspondan.</w:t>
      </w:r>
    </w:p>
    <w:p w14:paraId="4F0365E1" w14:textId="0DE97BFD"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 xml:space="preserve">ARTÍCULO </w:t>
      </w:r>
      <w:r w:rsidR="00A02547">
        <w:rPr>
          <w:rFonts w:ascii="Century Gothic" w:hAnsi="Century Gothic" w:cs="Times New Roman"/>
          <w:b/>
          <w:bCs/>
          <w:u w:val="single"/>
          <w:lang w:eastAsia="en-US"/>
        </w:rPr>
        <w:t>8</w:t>
      </w:r>
      <w:r w:rsidRPr="00DD3390">
        <w:rPr>
          <w:rFonts w:ascii="Century Gothic" w:hAnsi="Century Gothic" w:cs="Times New Roman"/>
          <w:b/>
          <w:bCs/>
          <w:u w:val="single"/>
          <w:lang w:eastAsia="en-US"/>
        </w:rPr>
        <w:t>°. – RECUSACIÓN DE UN ÁRBITRO DE EMERGENCIA</w:t>
      </w:r>
    </w:p>
    <w:p w14:paraId="50683863"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 xml:space="preserve">Las partes podrán formular recusación en contra del Árbitro de Emergencia, dentro del día siguiente a la fecha de notificación de la aceptación del Árbitro de Emergencia, o desde la fecha en la que dicha parte tomó conocimiento de los hechos y circunstancias en que funda su recusación, siempre que aquella sea posterior a la recepción de la mencionada notificación. </w:t>
      </w:r>
    </w:p>
    <w:p w14:paraId="49480B07"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Una vez presentada la recusación, la Secretaría General de Arbitraje procederá a ponerla en conocimiento del árbitro recusado y la contraparte, otorgando un plazo de un (1) día para que la absuelvan.</w:t>
      </w:r>
    </w:p>
    <w:p w14:paraId="6BDBD5F2"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Con o sin la absolución a la recusación, ésta será decidida por el Consejo Centro de Arbitraje “ARBITRA SOLUCIÓN”, lo resuelto tiene carácter definitivo.</w:t>
      </w:r>
    </w:p>
    <w:p w14:paraId="6BAB8CEA"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Si la recusación es declarada fundada, se dejará sin efecto la Orden, debiendo el árbitro recusado devolver la totalidad de los honorarios arbitrales. El Centro procederá a designar a un nuevo Árbitro de Emergencia para la emisión de una nueva Orden, siempre y cuando no se haya constituido el Tribunal Arbitral, si así lo requiere la parte solicitante. De haberse efectuado la constitución, será este Tribunal el que dictará la medida cautelar correspondiente.</w:t>
      </w:r>
    </w:p>
    <w:p w14:paraId="2F49CB58"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La interposición de la recusación no suspende el trámite de las actuaciones.</w:t>
      </w:r>
    </w:p>
    <w:p w14:paraId="3D0ABCD2" w14:textId="12FB62FA"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 xml:space="preserve">ARTÍCULO </w:t>
      </w:r>
      <w:r w:rsidR="00A02547">
        <w:rPr>
          <w:rFonts w:ascii="Century Gothic" w:hAnsi="Century Gothic" w:cs="Times New Roman"/>
          <w:b/>
          <w:bCs/>
          <w:u w:val="single"/>
          <w:lang w:eastAsia="en-US"/>
        </w:rPr>
        <w:t>9</w:t>
      </w:r>
      <w:r w:rsidRPr="00DD3390">
        <w:rPr>
          <w:rFonts w:ascii="Century Gothic" w:hAnsi="Century Gothic" w:cs="Times New Roman"/>
          <w:b/>
          <w:bCs/>
          <w:u w:val="single"/>
          <w:lang w:eastAsia="en-US"/>
        </w:rPr>
        <w:t>°. – ORDEN</w:t>
      </w:r>
    </w:p>
    <w:p w14:paraId="5FFA9390"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 xml:space="preserve">La decisión del Árbitro de Emergencia deberá adoptar la forma de una Orden. En dicha Orden, aquel decidirá si la solicitud cautelar es admisible y si tiene competencia para ordenar las Medidas de Emergencia solicitadas. Las partes están obligadas a cumplir con la Orden dictada. </w:t>
      </w:r>
    </w:p>
    <w:p w14:paraId="2AFBDBE6"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Una vez emitida y notificada dicha Orden, cualquiera de las partes podrá solicitar al Árbitro de Emergencia la reconsideración, modificación o que se deje sin efecto aquella en un plazo de un (1) día contado a partir de notificados con aquella Orden; siempre que el Tribunal Arbitral no se haya constituido aún.</w:t>
      </w:r>
    </w:p>
    <w:p w14:paraId="1B2FBF34"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 xml:space="preserve">El Árbitro de Emergencia pondrá la solicitud a conocimiento de la contraparte a fin de que la absuelva en un plazo de un (1) día. Con la absolución o sin ella, </w:t>
      </w:r>
      <w:r w:rsidRPr="00DD3390">
        <w:rPr>
          <w:rFonts w:ascii="Century Gothic" w:hAnsi="Century Gothic" w:cs="Times New Roman"/>
          <w:lang w:eastAsia="en-US"/>
        </w:rPr>
        <w:lastRenderedPageBreak/>
        <w:t>el Árbitro de Emergencia deberá pronunciarse sobre dicha solicitud en un plazo de dos (2) días de vencido el plazo otorgado para absolverla.</w:t>
      </w:r>
    </w:p>
    <w:p w14:paraId="11C6EDA8" w14:textId="7AD2A34B"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 xml:space="preserve">ARTÍCULO </w:t>
      </w:r>
      <w:r w:rsidR="00A02547">
        <w:rPr>
          <w:rFonts w:ascii="Century Gothic" w:hAnsi="Century Gothic" w:cs="Times New Roman"/>
          <w:b/>
          <w:bCs/>
          <w:u w:val="single"/>
          <w:lang w:eastAsia="en-US"/>
        </w:rPr>
        <w:t>10</w:t>
      </w:r>
      <w:r w:rsidRPr="00DD3390">
        <w:rPr>
          <w:rFonts w:ascii="Century Gothic" w:hAnsi="Century Gothic" w:cs="Times New Roman"/>
          <w:b/>
          <w:bCs/>
          <w:u w:val="single"/>
          <w:lang w:eastAsia="en-US"/>
        </w:rPr>
        <w:t>°. – FORMA Y REQUISITOS DE LA ORDEN</w:t>
      </w:r>
    </w:p>
    <w:p w14:paraId="17980F9D"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La Orden deberá constar por escrito y deberá contener las razones en las que se basa. Estará fechada y firmada por el Árbitro de Emergencia. La Secretaría procederá a realizar la notificación de la Orden a las partes dentro de un plazo de dos (3) días de recibida aquella, en los casos que lo ameriten.</w:t>
      </w:r>
    </w:p>
    <w:p w14:paraId="3F9BBBBF" w14:textId="1BA78676"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ARTÍCULO 1</w:t>
      </w:r>
      <w:r w:rsidR="00A02547">
        <w:rPr>
          <w:rFonts w:ascii="Century Gothic" w:hAnsi="Century Gothic" w:cs="Times New Roman"/>
          <w:b/>
          <w:bCs/>
          <w:u w:val="single"/>
          <w:lang w:eastAsia="en-US"/>
        </w:rPr>
        <w:t>1</w:t>
      </w:r>
      <w:r w:rsidRPr="00DD3390">
        <w:rPr>
          <w:rFonts w:ascii="Century Gothic" w:hAnsi="Century Gothic" w:cs="Times New Roman"/>
          <w:b/>
          <w:bCs/>
          <w:u w:val="single"/>
          <w:lang w:eastAsia="en-US"/>
        </w:rPr>
        <w:t>°. – CESE DE LOS EFECTOS DE LA ORDEN</w:t>
      </w:r>
    </w:p>
    <w:p w14:paraId="547E73B0"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 xml:space="preserve">La Orden dejará de ser vinculante cuando: </w:t>
      </w:r>
    </w:p>
    <w:p w14:paraId="122916F5" w14:textId="77777777" w:rsidR="00DD3390" w:rsidRPr="00DD3390" w:rsidRDefault="00DD3390" w:rsidP="00DD3390">
      <w:pPr>
        <w:numPr>
          <w:ilvl w:val="1"/>
          <w:numId w:val="13"/>
        </w:numPr>
        <w:spacing w:after="160" w:line="259" w:lineRule="auto"/>
        <w:ind w:left="851"/>
        <w:contextualSpacing/>
        <w:jc w:val="both"/>
        <w:rPr>
          <w:rFonts w:ascii="Century Gothic" w:hAnsi="Century Gothic" w:cs="Times New Roman"/>
          <w:lang w:eastAsia="en-US"/>
        </w:rPr>
      </w:pPr>
      <w:r w:rsidRPr="00DD3390">
        <w:rPr>
          <w:rFonts w:ascii="Century Gothic" w:hAnsi="Century Gothic" w:cs="Times New Roman"/>
          <w:lang w:eastAsia="en-US"/>
        </w:rPr>
        <w:t xml:space="preserve">La parte solicitante de la Medida de Emergencia no cumpla con iniciar el arbitraje conforme lo dispuesto en el artículo 5° de la presente Directiva. </w:t>
      </w:r>
    </w:p>
    <w:p w14:paraId="4D627DAF" w14:textId="77777777" w:rsidR="00DD3390" w:rsidRPr="00DD3390" w:rsidRDefault="00DD3390" w:rsidP="00DD3390">
      <w:pPr>
        <w:numPr>
          <w:ilvl w:val="1"/>
          <w:numId w:val="13"/>
        </w:numPr>
        <w:spacing w:after="160" w:line="259" w:lineRule="auto"/>
        <w:ind w:left="851"/>
        <w:contextualSpacing/>
        <w:jc w:val="both"/>
        <w:rPr>
          <w:rFonts w:ascii="Century Gothic" w:hAnsi="Century Gothic" w:cs="Times New Roman"/>
          <w:lang w:eastAsia="en-US"/>
        </w:rPr>
      </w:pPr>
      <w:r w:rsidRPr="00DD3390">
        <w:rPr>
          <w:rFonts w:ascii="Century Gothic" w:hAnsi="Century Gothic" w:cs="Times New Roman"/>
          <w:lang w:eastAsia="en-US"/>
        </w:rPr>
        <w:t xml:space="preserve">La recusación contra el Árbitro de Emergencia es declarada fundada, conforme lo dispuesto en el artículo 7° de la presente Directiva. </w:t>
      </w:r>
    </w:p>
    <w:p w14:paraId="567C83C1" w14:textId="77777777" w:rsidR="00DD3390" w:rsidRPr="00DD3390" w:rsidRDefault="00DD3390" w:rsidP="00DD3390">
      <w:pPr>
        <w:numPr>
          <w:ilvl w:val="1"/>
          <w:numId w:val="13"/>
        </w:numPr>
        <w:spacing w:after="160" w:line="259" w:lineRule="auto"/>
        <w:ind w:left="851"/>
        <w:contextualSpacing/>
        <w:jc w:val="both"/>
        <w:rPr>
          <w:rFonts w:ascii="Century Gothic" w:hAnsi="Century Gothic" w:cs="Times New Roman"/>
          <w:lang w:eastAsia="en-US"/>
        </w:rPr>
      </w:pPr>
      <w:r w:rsidRPr="00DD3390">
        <w:rPr>
          <w:rFonts w:ascii="Century Gothic" w:hAnsi="Century Gothic" w:cs="Times New Roman"/>
          <w:lang w:eastAsia="en-US"/>
        </w:rPr>
        <w:t xml:space="preserve">La Orden sea revocada por el Tribunal Arbitral a cargo del arbitraje. </w:t>
      </w:r>
    </w:p>
    <w:p w14:paraId="01D77383" w14:textId="77777777" w:rsidR="00DD3390" w:rsidRPr="00DD3390" w:rsidRDefault="00DD3390" w:rsidP="00DD3390">
      <w:pPr>
        <w:numPr>
          <w:ilvl w:val="1"/>
          <w:numId w:val="13"/>
        </w:numPr>
        <w:spacing w:after="160" w:line="259" w:lineRule="auto"/>
        <w:ind w:left="851"/>
        <w:contextualSpacing/>
        <w:jc w:val="both"/>
        <w:rPr>
          <w:rFonts w:ascii="Century Gothic" w:hAnsi="Century Gothic" w:cs="Times New Roman"/>
          <w:lang w:eastAsia="en-US"/>
        </w:rPr>
      </w:pPr>
      <w:r w:rsidRPr="00DD3390">
        <w:rPr>
          <w:rFonts w:ascii="Century Gothic" w:hAnsi="Century Gothic" w:cs="Times New Roman"/>
          <w:lang w:eastAsia="en-US"/>
        </w:rPr>
        <w:t xml:space="preserve">Se haya emitido el laudo final del Tribunal Arbitral, salvo que el Tribunal Arbitral decida expresamente lo contrario en dicho laudo. </w:t>
      </w:r>
    </w:p>
    <w:p w14:paraId="41770763" w14:textId="77777777" w:rsidR="00DD3390" w:rsidRDefault="00DD3390" w:rsidP="00DD3390">
      <w:pPr>
        <w:numPr>
          <w:ilvl w:val="1"/>
          <w:numId w:val="13"/>
        </w:numPr>
        <w:spacing w:after="160" w:line="259" w:lineRule="auto"/>
        <w:ind w:left="851"/>
        <w:contextualSpacing/>
        <w:jc w:val="both"/>
        <w:rPr>
          <w:rFonts w:ascii="Century Gothic" w:hAnsi="Century Gothic" w:cs="Times New Roman"/>
          <w:lang w:eastAsia="en-US"/>
        </w:rPr>
      </w:pPr>
      <w:r w:rsidRPr="00DD3390">
        <w:rPr>
          <w:rFonts w:ascii="Century Gothic" w:hAnsi="Century Gothic" w:cs="Times New Roman"/>
          <w:lang w:eastAsia="en-US"/>
        </w:rPr>
        <w:t>Se produzca la terminación de las actuaciones arbitrales antes del dictado de un laudo.</w:t>
      </w:r>
    </w:p>
    <w:p w14:paraId="4AFCA24A" w14:textId="77777777" w:rsidR="00DD3390" w:rsidRPr="00DD3390" w:rsidRDefault="00DD3390" w:rsidP="00DD3390">
      <w:pPr>
        <w:spacing w:after="160" w:line="259" w:lineRule="auto"/>
        <w:ind w:left="851"/>
        <w:contextualSpacing/>
        <w:jc w:val="both"/>
        <w:rPr>
          <w:rFonts w:ascii="Century Gothic" w:hAnsi="Century Gothic" w:cs="Times New Roman"/>
          <w:lang w:eastAsia="en-US"/>
        </w:rPr>
      </w:pPr>
    </w:p>
    <w:p w14:paraId="0E632D8C" w14:textId="5556DAF3"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ARTÍCULO 1</w:t>
      </w:r>
      <w:r w:rsidR="00A02547">
        <w:rPr>
          <w:rFonts w:ascii="Century Gothic" w:hAnsi="Century Gothic" w:cs="Times New Roman"/>
          <w:b/>
          <w:bCs/>
          <w:u w:val="single"/>
          <w:lang w:eastAsia="en-US"/>
        </w:rPr>
        <w:t>2</w:t>
      </w:r>
      <w:r w:rsidRPr="00DD3390">
        <w:rPr>
          <w:rFonts w:ascii="Century Gothic" w:hAnsi="Century Gothic" w:cs="Times New Roman"/>
          <w:b/>
          <w:bCs/>
          <w:u w:val="single"/>
          <w:lang w:eastAsia="en-US"/>
        </w:rPr>
        <w:t xml:space="preserve">°. – COSTOS DEL PROCEDIMIENTO DEL ÁRBITRO DE EMERGENCIA </w:t>
      </w:r>
    </w:p>
    <w:p w14:paraId="0DD71068"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El solicitante deberá pagar un importe de S/. 8,800.00 (Ocho mil ochocientos y 00/100 Soles) incluye IGV, como tasa administrativa del Centro por concepto de Servicio de Árbitro de Emergencia y, como honorarios del Árbitro de Emergencia el monto de S/. 16,500.00 (Dieciséis mil quinientos y 00/100 Soles) neto; dichos montos podrán ser ajustados por la Secretaría General de Arbitraje, tomando en consideración, entre otras cuestiones la naturaleza y complejidad del caso, así como el tiempo que se estima sería dedicado para emitir la Orden.</w:t>
      </w:r>
    </w:p>
    <w:p w14:paraId="0E9D1045"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 xml:space="preserve">Si la parte que presenta la Solicitud no paga el ajuste dentro del plazo fijado por la Secretaría, la Solicitud será archivada. </w:t>
      </w:r>
    </w:p>
    <w:p w14:paraId="3A85DA2B"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 xml:space="preserve">En la Orden el Árbitro de Emergencia decidirá cuál de las partes debe asumir los costos del procedimiento o en qué proporción han de prorratearse entre ellas, lo cual deberá ser considerado por el Tribunal Arbitral al momento de emitir el laudo para que ordene los reembolsos que corresponda. </w:t>
      </w:r>
    </w:p>
    <w:p w14:paraId="3C0F78D1"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En ningún caso procede la devolución de tasa administrativa del Centro por concepto de Servicio de Árbitro de Emergencia.</w:t>
      </w:r>
    </w:p>
    <w:p w14:paraId="389AB18F" w14:textId="1659BEB9"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ARTÍCULO 1</w:t>
      </w:r>
      <w:r w:rsidR="00A02547">
        <w:rPr>
          <w:rFonts w:ascii="Century Gothic" w:hAnsi="Century Gothic" w:cs="Times New Roman"/>
          <w:b/>
          <w:bCs/>
          <w:u w:val="single"/>
          <w:lang w:eastAsia="en-US"/>
        </w:rPr>
        <w:t>3</w:t>
      </w:r>
      <w:r w:rsidRPr="00DD3390">
        <w:rPr>
          <w:rFonts w:ascii="Century Gothic" w:hAnsi="Century Gothic" w:cs="Times New Roman"/>
          <w:b/>
          <w:bCs/>
          <w:u w:val="single"/>
          <w:lang w:eastAsia="en-US"/>
        </w:rPr>
        <w:t>°. – FACULTADES DEL TRIBU</w:t>
      </w:r>
      <w:r w:rsidR="003C2886">
        <w:rPr>
          <w:rFonts w:ascii="Century Gothic" w:hAnsi="Century Gothic" w:cs="Times New Roman"/>
          <w:b/>
          <w:bCs/>
          <w:u w:val="single"/>
          <w:lang w:eastAsia="en-US"/>
        </w:rPr>
        <w:t>N</w:t>
      </w:r>
      <w:r w:rsidRPr="00DD3390">
        <w:rPr>
          <w:rFonts w:ascii="Century Gothic" w:hAnsi="Century Gothic" w:cs="Times New Roman"/>
          <w:b/>
          <w:bCs/>
          <w:u w:val="single"/>
          <w:lang w:eastAsia="en-US"/>
        </w:rPr>
        <w:t>AL ARBITRAL RESPECTO DE LA ORDEN EMITIDA POR UN ARBITRO DE EMERGENCIA</w:t>
      </w:r>
    </w:p>
    <w:p w14:paraId="2776C94C" w14:textId="5B9D35BD"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lastRenderedPageBreak/>
        <w:t>La Orden emitida por el Árbitro de Emergencia no será vinculante para el Tribunal Arbitral. Una vez constituido, de oficio o a pedido de parte, los árbitros, podrán modificar o dejar sin efecto la Orden, total o parcialmente.</w:t>
      </w:r>
    </w:p>
    <w:p w14:paraId="40457255" w14:textId="09FEF395"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ARTÍCULO 1</w:t>
      </w:r>
      <w:r w:rsidR="00A02547">
        <w:rPr>
          <w:rFonts w:ascii="Century Gothic" w:hAnsi="Century Gothic" w:cs="Times New Roman"/>
          <w:b/>
          <w:bCs/>
          <w:u w:val="single"/>
          <w:lang w:eastAsia="en-US"/>
        </w:rPr>
        <w:t>4</w:t>
      </w:r>
      <w:r w:rsidRPr="00DD3390">
        <w:rPr>
          <w:rFonts w:ascii="Century Gothic" w:hAnsi="Century Gothic" w:cs="Times New Roman"/>
          <w:b/>
          <w:bCs/>
          <w:u w:val="single"/>
          <w:lang w:eastAsia="en-US"/>
        </w:rPr>
        <w:t xml:space="preserve">°. – MEDIDAS CAUTELARES EN SEDE JUDICIAL </w:t>
      </w:r>
    </w:p>
    <w:p w14:paraId="43400D28"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El derecho de las partes de recurrir a un Árbitro de Emergencia no impide que soliciten medidas cautelares ante una autoridad judicial competente, no obstante, la tutela cautelar judicial y las Medidas de Emergencia reguladas en la presente Directiva son excluyentes entre sí.</w:t>
      </w:r>
    </w:p>
    <w:p w14:paraId="0B458F0D" w14:textId="0807DAB3" w:rsidR="00DD3390" w:rsidRPr="00DD3390" w:rsidRDefault="00DD3390" w:rsidP="00DD3390">
      <w:pPr>
        <w:spacing w:after="160" w:line="259" w:lineRule="auto"/>
        <w:jc w:val="both"/>
        <w:rPr>
          <w:rFonts w:ascii="Century Gothic" w:hAnsi="Century Gothic" w:cs="Times New Roman"/>
          <w:b/>
          <w:bCs/>
          <w:u w:val="single"/>
          <w:lang w:eastAsia="en-US"/>
        </w:rPr>
      </w:pPr>
      <w:r w:rsidRPr="00DD3390">
        <w:rPr>
          <w:rFonts w:ascii="Century Gothic" w:hAnsi="Century Gothic" w:cs="Times New Roman"/>
          <w:b/>
          <w:bCs/>
          <w:u w:val="single"/>
          <w:lang w:eastAsia="en-US"/>
        </w:rPr>
        <w:t>ARTÍCULO 1</w:t>
      </w:r>
      <w:r w:rsidR="00A02547">
        <w:rPr>
          <w:rFonts w:ascii="Century Gothic" w:hAnsi="Century Gothic" w:cs="Times New Roman"/>
          <w:b/>
          <w:bCs/>
          <w:u w:val="single"/>
          <w:lang w:eastAsia="en-US"/>
        </w:rPr>
        <w:t>5</w:t>
      </w:r>
      <w:r w:rsidRPr="00DD3390">
        <w:rPr>
          <w:rFonts w:ascii="Century Gothic" w:hAnsi="Century Gothic" w:cs="Times New Roman"/>
          <w:b/>
          <w:bCs/>
          <w:u w:val="single"/>
          <w:lang w:eastAsia="en-US"/>
        </w:rPr>
        <w:t>°. – APLICACIÓN SUPLETORIA DEL REGLAMENTO</w:t>
      </w:r>
    </w:p>
    <w:p w14:paraId="068D9F32" w14:textId="77777777" w:rsidR="00DD3390" w:rsidRPr="00DD3390" w:rsidRDefault="00DD3390" w:rsidP="00DD3390">
      <w:pPr>
        <w:spacing w:after="160" w:line="259" w:lineRule="auto"/>
        <w:jc w:val="both"/>
        <w:rPr>
          <w:rFonts w:ascii="Century Gothic" w:hAnsi="Century Gothic" w:cs="Times New Roman"/>
          <w:lang w:eastAsia="en-US"/>
        </w:rPr>
      </w:pPr>
      <w:r w:rsidRPr="00DD3390">
        <w:rPr>
          <w:rFonts w:ascii="Century Gothic" w:hAnsi="Century Gothic" w:cs="Times New Roman"/>
          <w:lang w:eastAsia="en-US"/>
        </w:rPr>
        <w:t>Para todo lo no regulado en la presente Directiva, será de aplicación el Reglamento de Arbitraje vigente, siempre que no contravenga lo establecido en esta disposición.</w:t>
      </w:r>
    </w:p>
    <w:p w14:paraId="022100DB" w14:textId="3ED3BA41" w:rsidR="00DD3390" w:rsidRDefault="00DD3390" w:rsidP="00DD3390">
      <w:pPr>
        <w:spacing w:after="160" w:line="259" w:lineRule="auto"/>
        <w:jc w:val="right"/>
        <w:rPr>
          <w:rFonts w:ascii="Century Gothic" w:hAnsi="Century Gothic" w:cs="Times New Roman"/>
          <w:b/>
          <w:bCs/>
          <w:lang w:eastAsia="en-US"/>
        </w:rPr>
      </w:pPr>
      <w:r w:rsidRPr="00DD3390">
        <w:rPr>
          <w:rFonts w:ascii="Century Gothic" w:hAnsi="Century Gothic" w:cs="Times New Roman"/>
          <w:lang w:eastAsia="en-US"/>
        </w:rPr>
        <w:tab/>
      </w:r>
      <w:r w:rsidRPr="00DD3390">
        <w:rPr>
          <w:rFonts w:ascii="Century Gothic" w:hAnsi="Century Gothic" w:cs="Times New Roman"/>
          <w:lang w:eastAsia="en-US"/>
        </w:rPr>
        <w:tab/>
      </w:r>
      <w:r w:rsidRPr="00DD3390">
        <w:rPr>
          <w:rFonts w:ascii="Century Gothic" w:hAnsi="Century Gothic" w:cs="Times New Roman"/>
          <w:lang w:eastAsia="en-US"/>
        </w:rPr>
        <w:tab/>
      </w:r>
      <w:r w:rsidRPr="00DD3390">
        <w:rPr>
          <w:rFonts w:ascii="Century Gothic" w:hAnsi="Century Gothic" w:cs="Times New Roman"/>
          <w:lang w:eastAsia="en-US"/>
        </w:rPr>
        <w:tab/>
      </w:r>
      <w:r w:rsidRPr="00DD3390">
        <w:rPr>
          <w:rFonts w:ascii="Century Gothic" w:hAnsi="Century Gothic" w:cs="Times New Roman"/>
          <w:lang w:eastAsia="en-US"/>
        </w:rPr>
        <w:tab/>
      </w:r>
      <w:r w:rsidRPr="00DD3390">
        <w:rPr>
          <w:rFonts w:ascii="Century Gothic" w:hAnsi="Century Gothic" w:cs="Times New Roman"/>
          <w:lang w:eastAsia="en-US"/>
        </w:rPr>
        <w:tab/>
      </w:r>
      <w:r w:rsidRPr="00DD3390">
        <w:rPr>
          <w:rFonts w:ascii="Century Gothic" w:hAnsi="Century Gothic" w:cs="Times New Roman"/>
          <w:lang w:eastAsia="en-US"/>
        </w:rPr>
        <w:tab/>
      </w:r>
      <w:r w:rsidRPr="00DD3390">
        <w:rPr>
          <w:rFonts w:ascii="Century Gothic" w:hAnsi="Century Gothic" w:cs="Times New Roman"/>
          <w:b/>
          <w:bCs/>
          <w:lang w:eastAsia="en-US"/>
        </w:rPr>
        <w:t>Cusco,</w:t>
      </w:r>
      <w:r>
        <w:rPr>
          <w:rFonts w:ascii="Century Gothic" w:hAnsi="Century Gothic" w:cs="Times New Roman"/>
          <w:b/>
          <w:bCs/>
          <w:lang w:eastAsia="en-US"/>
        </w:rPr>
        <w:t xml:space="preserve"> </w:t>
      </w:r>
      <w:r w:rsidRPr="00DD3390">
        <w:rPr>
          <w:rFonts w:ascii="Century Gothic" w:hAnsi="Century Gothic" w:cs="Times New Roman"/>
          <w:b/>
          <w:bCs/>
          <w:lang w:eastAsia="en-US"/>
        </w:rPr>
        <w:t>ju</w:t>
      </w:r>
      <w:r w:rsidR="004A066B">
        <w:rPr>
          <w:rFonts w:ascii="Century Gothic" w:hAnsi="Century Gothic" w:cs="Times New Roman"/>
          <w:b/>
          <w:bCs/>
          <w:lang w:eastAsia="en-US"/>
        </w:rPr>
        <w:t xml:space="preserve">lio </w:t>
      </w:r>
      <w:r w:rsidRPr="00DD3390">
        <w:rPr>
          <w:rFonts w:ascii="Century Gothic" w:hAnsi="Century Gothic" w:cs="Times New Roman"/>
          <w:b/>
          <w:bCs/>
          <w:lang w:eastAsia="en-US"/>
        </w:rPr>
        <w:t>de 202</w:t>
      </w:r>
      <w:r w:rsidR="004A066B">
        <w:rPr>
          <w:rFonts w:ascii="Century Gothic" w:hAnsi="Century Gothic" w:cs="Times New Roman"/>
          <w:b/>
          <w:bCs/>
          <w:lang w:eastAsia="en-US"/>
        </w:rPr>
        <w:t>5</w:t>
      </w:r>
    </w:p>
    <w:p w14:paraId="1D04023B" w14:textId="77777777" w:rsidR="009D15E2" w:rsidRDefault="009D15E2" w:rsidP="00DD3390">
      <w:pPr>
        <w:spacing w:after="160" w:line="259" w:lineRule="auto"/>
        <w:jc w:val="right"/>
        <w:rPr>
          <w:rFonts w:ascii="Century Gothic" w:hAnsi="Century Gothic" w:cs="Times New Roman"/>
          <w:b/>
          <w:bCs/>
          <w:lang w:eastAsia="en-US"/>
        </w:rPr>
      </w:pPr>
    </w:p>
    <w:p w14:paraId="6334ECC0" w14:textId="5A63AA65" w:rsidR="009D15E2" w:rsidRDefault="009D15E2" w:rsidP="00DD3390">
      <w:pPr>
        <w:spacing w:after="160" w:line="259" w:lineRule="auto"/>
        <w:jc w:val="right"/>
        <w:rPr>
          <w:rFonts w:ascii="Century Gothic" w:hAnsi="Century Gothic" w:cs="Times New Roman"/>
          <w:b/>
          <w:bCs/>
          <w:lang w:eastAsia="en-US"/>
        </w:rPr>
      </w:pPr>
    </w:p>
    <w:p w14:paraId="3C8CC77C" w14:textId="77777777" w:rsidR="009D15E2" w:rsidRDefault="009D15E2">
      <w:pPr>
        <w:rPr>
          <w:rFonts w:ascii="Century Gothic" w:hAnsi="Century Gothic" w:cs="Times New Roman"/>
          <w:b/>
          <w:bCs/>
          <w:lang w:eastAsia="en-US"/>
        </w:rPr>
      </w:pPr>
      <w:r>
        <w:rPr>
          <w:rFonts w:ascii="Century Gothic" w:hAnsi="Century Gothic" w:cs="Times New Roman"/>
          <w:b/>
          <w:bCs/>
          <w:lang w:eastAsia="en-US"/>
        </w:rPr>
        <w:br w:type="page"/>
      </w:r>
    </w:p>
    <w:p w14:paraId="3437C3EA" w14:textId="77777777" w:rsidR="009D15E2" w:rsidRPr="00DD3390" w:rsidRDefault="009D15E2" w:rsidP="00DD3390">
      <w:pPr>
        <w:spacing w:after="160" w:line="259" w:lineRule="auto"/>
        <w:jc w:val="right"/>
        <w:rPr>
          <w:rFonts w:ascii="Century Gothic" w:hAnsi="Century Gothic" w:cs="Times New Roman"/>
          <w:b/>
          <w:bCs/>
          <w:lang w:eastAsia="en-US"/>
        </w:rPr>
      </w:pPr>
    </w:p>
    <w:p w14:paraId="7FCDB9A8" w14:textId="77777777" w:rsidR="009D15E2" w:rsidRPr="002B246C" w:rsidRDefault="009D15E2" w:rsidP="009D15E2">
      <w:pPr>
        <w:keepNext/>
        <w:keepLines/>
        <w:spacing w:before="40" w:after="0" w:line="360" w:lineRule="auto"/>
        <w:jc w:val="center"/>
        <w:outlineLvl w:val="1"/>
        <w:rPr>
          <w:rFonts w:ascii="Century Gothic" w:eastAsia="Times New Roman" w:hAnsi="Century Gothic" w:cs="Times New Roman"/>
          <w:b/>
          <w:caps/>
          <w:color w:val="000000"/>
          <w:szCs w:val="26"/>
          <w:u w:val="single"/>
          <w:lang w:eastAsia="en-US"/>
        </w:rPr>
      </w:pPr>
      <w:bookmarkStart w:id="0" w:name="_Toc212131571"/>
      <w:r w:rsidRPr="002B246C">
        <w:rPr>
          <w:rFonts w:ascii="Century Gothic" w:eastAsia="Times New Roman" w:hAnsi="Century Gothic" w:cs="Times New Roman"/>
          <w:b/>
          <w:caps/>
          <w:color w:val="000000"/>
          <w:szCs w:val="26"/>
          <w:u w:val="single"/>
          <w:lang w:eastAsia="en-US"/>
        </w:rPr>
        <w:t>DISPOSICIONES COMPLEMENTARIAS Y FINALES</w:t>
      </w:r>
      <w:bookmarkEnd w:id="0"/>
    </w:p>
    <w:p w14:paraId="12586B87" w14:textId="3BD0BF09" w:rsidR="009D15E2" w:rsidRDefault="009D15E2" w:rsidP="009D15E2">
      <w:pPr>
        <w:spacing w:after="0" w:line="240" w:lineRule="auto"/>
        <w:jc w:val="both"/>
        <w:rPr>
          <w:rFonts w:ascii="Century Gothic" w:hAnsi="Century Gothic" w:cs="Times New Roman"/>
          <w:lang w:eastAsia="en-US"/>
        </w:rPr>
      </w:pPr>
      <w:r w:rsidRPr="00054B24">
        <w:rPr>
          <w:rFonts w:ascii="Century Gothic" w:hAnsi="Century Gothic" w:cs="Times New Roman"/>
          <w:b/>
          <w:bCs/>
          <w:u w:val="single"/>
          <w:lang w:eastAsia="en-US"/>
        </w:rPr>
        <w:t>PRIMERA:</w:t>
      </w:r>
      <w:r w:rsidRPr="00054B24">
        <w:rPr>
          <w:rFonts w:ascii="Century Gothic" w:hAnsi="Century Gothic" w:cs="Times New Roman"/>
          <w:lang w:eastAsia="en-US"/>
        </w:rPr>
        <w:t xml:space="preserve"> En todo lo no regulado por el presente Reglamento, será</w:t>
      </w:r>
      <w:r>
        <w:rPr>
          <w:rFonts w:ascii="Century Gothic" w:hAnsi="Century Gothic" w:cs="Times New Roman"/>
          <w:lang w:eastAsia="en-US"/>
        </w:rPr>
        <w:t xml:space="preserve">n complementados de acuerdo a los artículos pertinentes de la le Ley General de Contrataciones Publicas. </w:t>
      </w:r>
    </w:p>
    <w:p w14:paraId="6521D981" w14:textId="77777777" w:rsidR="009D15E2" w:rsidRPr="00054B24" w:rsidRDefault="009D15E2" w:rsidP="009D15E2">
      <w:pPr>
        <w:spacing w:after="0" w:line="240" w:lineRule="auto"/>
        <w:jc w:val="both"/>
        <w:rPr>
          <w:rFonts w:ascii="Century Gothic" w:hAnsi="Century Gothic" w:cs="Times New Roman"/>
          <w:lang w:eastAsia="en-US"/>
        </w:rPr>
      </w:pPr>
    </w:p>
    <w:p w14:paraId="657BAF81" w14:textId="652B469B" w:rsidR="00AE541D" w:rsidRPr="005A67D4" w:rsidRDefault="00AE541D" w:rsidP="005A67D4"/>
    <w:sectPr w:rsidR="00AE541D" w:rsidRPr="005A67D4" w:rsidSect="00E30EA9">
      <w:headerReference w:type="default" r:id="rId7"/>
      <w:footerReference w:type="default" r:id="rId8"/>
      <w:pgSz w:w="11906" w:h="16838" w:code="9"/>
      <w:pgMar w:top="2127" w:right="1701" w:bottom="1843" w:left="1701" w:header="708" w:footer="1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7D1C" w14:textId="77777777" w:rsidR="006248A1" w:rsidRDefault="006248A1" w:rsidP="005D0769">
      <w:pPr>
        <w:spacing w:after="0" w:line="240" w:lineRule="auto"/>
      </w:pPr>
      <w:r>
        <w:separator/>
      </w:r>
    </w:p>
  </w:endnote>
  <w:endnote w:type="continuationSeparator" w:id="0">
    <w:p w14:paraId="01643283" w14:textId="77777777" w:rsidR="006248A1" w:rsidRDefault="006248A1" w:rsidP="005D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1986"/>
      <w:docPartObj>
        <w:docPartGallery w:val="Page Numbers (Bottom of Page)"/>
        <w:docPartUnique/>
      </w:docPartObj>
    </w:sdtPr>
    <w:sdtContent>
      <w:sdt>
        <w:sdtPr>
          <w:id w:val="860082579"/>
          <w:docPartObj>
            <w:docPartGallery w:val="Page Numbers (Top of Page)"/>
            <w:docPartUnique/>
          </w:docPartObj>
        </w:sdtPr>
        <w:sdtContent>
          <w:p w14:paraId="7B9AAE0A" w14:textId="5E45B160" w:rsidR="004857B0" w:rsidRDefault="00810CB8">
            <w:pPr>
              <w:pStyle w:val="Piedepgina"/>
              <w:jc w:val="right"/>
            </w:pPr>
            <w:r>
              <w:rPr>
                <w:noProof/>
              </w:rPr>
              <w:drawing>
                <wp:anchor distT="0" distB="0" distL="114300" distR="114300" simplePos="0" relativeHeight="251658752" behindDoc="1" locked="0" layoutInCell="1" allowOverlap="1" wp14:anchorId="095AF8D2" wp14:editId="0CE24B66">
                  <wp:simplePos x="0" y="0"/>
                  <wp:positionH relativeFrom="page">
                    <wp:posOffset>12700</wp:posOffset>
                  </wp:positionH>
                  <wp:positionV relativeFrom="paragraph">
                    <wp:posOffset>222885</wp:posOffset>
                  </wp:positionV>
                  <wp:extent cx="7550150" cy="819785"/>
                  <wp:effectExtent l="0" t="0" r="0" b="0"/>
                  <wp:wrapNone/>
                  <wp:docPr id="14995851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2CF">
              <w:rPr>
                <w:lang w:val="es-ES"/>
              </w:rPr>
              <w:t xml:space="preserve">Página </w:t>
            </w:r>
            <w:r w:rsidR="009332CF">
              <w:rPr>
                <w:b/>
                <w:bCs/>
                <w:sz w:val="24"/>
                <w:szCs w:val="24"/>
              </w:rPr>
              <w:fldChar w:fldCharType="begin"/>
            </w:r>
            <w:r w:rsidR="009332CF">
              <w:rPr>
                <w:b/>
                <w:bCs/>
              </w:rPr>
              <w:instrText>PAGE</w:instrText>
            </w:r>
            <w:r w:rsidR="009332CF">
              <w:rPr>
                <w:b/>
                <w:bCs/>
                <w:sz w:val="24"/>
                <w:szCs w:val="24"/>
              </w:rPr>
              <w:fldChar w:fldCharType="separate"/>
            </w:r>
            <w:r w:rsidR="00BF3912">
              <w:rPr>
                <w:b/>
                <w:bCs/>
                <w:noProof/>
              </w:rPr>
              <w:t>1</w:t>
            </w:r>
            <w:r w:rsidR="009332CF">
              <w:rPr>
                <w:b/>
                <w:bCs/>
                <w:sz w:val="24"/>
                <w:szCs w:val="24"/>
              </w:rPr>
              <w:fldChar w:fldCharType="end"/>
            </w:r>
            <w:r w:rsidR="009332CF">
              <w:rPr>
                <w:lang w:val="es-ES"/>
              </w:rPr>
              <w:t xml:space="preserve"> de </w:t>
            </w:r>
            <w:r w:rsidR="009332CF">
              <w:rPr>
                <w:b/>
                <w:bCs/>
                <w:sz w:val="24"/>
                <w:szCs w:val="24"/>
              </w:rPr>
              <w:fldChar w:fldCharType="begin"/>
            </w:r>
            <w:r w:rsidR="009332CF">
              <w:rPr>
                <w:b/>
                <w:bCs/>
              </w:rPr>
              <w:instrText>NUMPAGES</w:instrText>
            </w:r>
            <w:r w:rsidR="009332CF">
              <w:rPr>
                <w:b/>
                <w:bCs/>
                <w:sz w:val="24"/>
                <w:szCs w:val="24"/>
              </w:rPr>
              <w:fldChar w:fldCharType="separate"/>
            </w:r>
            <w:r w:rsidR="00BF3912">
              <w:rPr>
                <w:b/>
                <w:bCs/>
                <w:noProof/>
              </w:rPr>
              <w:t>2</w:t>
            </w:r>
            <w:r w:rsidR="009332CF">
              <w:rPr>
                <w:b/>
                <w:bCs/>
                <w:sz w:val="24"/>
                <w:szCs w:val="24"/>
              </w:rPr>
              <w:fldChar w:fldCharType="end"/>
            </w:r>
          </w:p>
        </w:sdtContent>
      </w:sdt>
    </w:sdtContent>
  </w:sdt>
  <w:p w14:paraId="7813C09F" w14:textId="5F411168" w:rsidR="004857B0" w:rsidRDefault="004857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0E69" w14:textId="77777777" w:rsidR="006248A1" w:rsidRDefault="006248A1" w:rsidP="005D0769">
      <w:pPr>
        <w:spacing w:after="0" w:line="240" w:lineRule="auto"/>
      </w:pPr>
      <w:r>
        <w:separator/>
      </w:r>
    </w:p>
  </w:footnote>
  <w:footnote w:type="continuationSeparator" w:id="0">
    <w:p w14:paraId="4E2EC3AE" w14:textId="77777777" w:rsidR="006248A1" w:rsidRDefault="006248A1" w:rsidP="005D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CE1A" w14:textId="3122613E" w:rsidR="004857B0" w:rsidRDefault="00E30EA9" w:rsidP="00724F92">
    <w:pPr>
      <w:pBdr>
        <w:top w:val="nil"/>
        <w:left w:val="nil"/>
        <w:bottom w:val="nil"/>
        <w:right w:val="nil"/>
        <w:between w:val="nil"/>
      </w:pBdr>
      <w:tabs>
        <w:tab w:val="center" w:pos="4419"/>
        <w:tab w:val="right" w:pos="8838"/>
      </w:tabs>
      <w:spacing w:after="0" w:line="240" w:lineRule="auto"/>
      <w:jc w:val="center"/>
      <w:rPr>
        <w:color w:val="000000"/>
      </w:rPr>
    </w:pPr>
    <w:r>
      <w:rPr>
        <w:noProof/>
      </w:rPr>
      <mc:AlternateContent>
        <mc:Choice Requires="wps">
          <w:drawing>
            <wp:anchor distT="0" distB="0" distL="114300" distR="114300" simplePos="0" relativeHeight="251655680" behindDoc="0" locked="0" layoutInCell="1" hidden="0" allowOverlap="1" wp14:anchorId="2FA86020" wp14:editId="6FE6EEB7">
              <wp:simplePos x="0" y="0"/>
              <wp:positionH relativeFrom="column">
                <wp:posOffset>-747395</wp:posOffset>
              </wp:positionH>
              <wp:positionV relativeFrom="paragraph">
                <wp:posOffset>186055</wp:posOffset>
              </wp:positionV>
              <wp:extent cx="2094230" cy="0"/>
              <wp:effectExtent l="57150" t="57150" r="58420" b="57150"/>
              <wp:wrapNone/>
              <wp:docPr id="7" name="7 Conector recto de flecha"/>
              <wp:cNvGraphicFramePr/>
              <a:graphic xmlns:a="http://schemas.openxmlformats.org/drawingml/2006/main">
                <a:graphicData uri="http://schemas.microsoft.com/office/word/2010/wordprocessingShape">
                  <wps:wsp>
                    <wps:cNvCnPr/>
                    <wps:spPr>
                      <a:xfrm flipH="1">
                        <a:off x="0" y="0"/>
                        <a:ext cx="2094230"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type w14:anchorId="3C955EBC" id="_x0000_t32" coordsize="21600,21600" o:spt="32" o:oned="t" path="m,l21600,21600e" filled="f">
              <v:path arrowok="t" fillok="f" o:connecttype="none"/>
              <o:lock v:ext="edit" shapetype="t"/>
            </v:shapetype>
            <v:shape id="7 Conector recto de flecha" o:spid="_x0000_s1026" type="#_x0000_t32" style="position:absolute;margin-left:-58.85pt;margin-top:14.65pt;width:164.9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" strokecolor="#002060" strokeweight="2.25pt">
              <v:stroke startarrow="diamond" endarrow="diamond"/>
            </v:shape>
          </w:pict>
        </mc:Fallback>
      </mc:AlternateContent>
    </w:r>
    <w:r>
      <w:rPr>
        <w:noProof/>
        <w:color w:val="000000"/>
      </w:rPr>
      <w:drawing>
        <wp:anchor distT="0" distB="0" distL="114300" distR="114300" simplePos="0" relativeHeight="251657728" behindDoc="1" locked="0" layoutInCell="1" allowOverlap="1" wp14:anchorId="45375FBD" wp14:editId="3B8EED27">
          <wp:simplePos x="0" y="0"/>
          <wp:positionH relativeFrom="margin">
            <wp:align>center</wp:align>
          </wp:positionH>
          <wp:positionV relativeFrom="margin">
            <wp:posOffset>-1126490</wp:posOffset>
          </wp:positionV>
          <wp:extent cx="2085975" cy="1042670"/>
          <wp:effectExtent l="0" t="0" r="9525" b="5080"/>
          <wp:wrapSquare wrapText="bothSides"/>
          <wp:docPr id="15922329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85975" cy="1042670"/>
                  </a:xfrm>
                  <a:prstGeom prst="rect">
                    <a:avLst/>
                  </a:prstGeom>
                  <a:ln/>
                </pic:spPr>
              </pic:pic>
            </a:graphicData>
          </a:graphic>
        </wp:anchor>
      </w:drawing>
    </w:r>
    <w:r w:rsidR="00000000">
      <w:rPr>
        <w:noProof/>
      </w:rPr>
      <w:pict w14:anchorId="320B3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82" o:spid="_x0000_s1025" type="#_x0000_t75" style="position:absolute;left:0;text-align:left;margin-left:0;margin-top:0;width:425.1pt;height:212.55pt;z-index:-251656704;mso-position-horizontal:center;mso-position-horizontal-relative:margin;mso-position-vertical:center;mso-position-vertical-relative:margin" o:allowincell="f">
          <v:imagedata r:id="rId2" o:title="WhatsApp Image 2023-03-14 at 09" gain="19661f" blacklevel="22938f"/>
          <w10:wrap anchorx="margin" anchory="margin"/>
        </v:shape>
      </w:pict>
    </w:r>
  </w:p>
  <w:p w14:paraId="48DD8A6B" w14:textId="37C322E9" w:rsidR="004857B0" w:rsidRDefault="00E30EA9">
    <w:pPr>
      <w:pStyle w:val="Encabezado"/>
    </w:pPr>
    <w:r>
      <w:rPr>
        <w:noProof/>
      </w:rPr>
      <mc:AlternateContent>
        <mc:Choice Requires="wps">
          <w:drawing>
            <wp:anchor distT="0" distB="0" distL="114300" distR="114300" simplePos="0" relativeHeight="251656704" behindDoc="0" locked="0" layoutInCell="1" hidden="0" allowOverlap="1" wp14:anchorId="745EDAA9" wp14:editId="2716176D">
              <wp:simplePos x="0" y="0"/>
              <wp:positionH relativeFrom="margin">
                <wp:posOffset>4107815</wp:posOffset>
              </wp:positionH>
              <wp:positionV relativeFrom="margin">
                <wp:posOffset>-722630</wp:posOffset>
              </wp:positionV>
              <wp:extent cx="2093595" cy="0"/>
              <wp:effectExtent l="57150" t="57150" r="59055" b="57150"/>
              <wp:wrapSquare wrapText="bothSides"/>
              <wp:docPr id="8" name="8 Conector recto de flecha"/>
              <wp:cNvGraphicFramePr/>
              <a:graphic xmlns:a="http://schemas.openxmlformats.org/drawingml/2006/main">
                <a:graphicData uri="http://schemas.microsoft.com/office/word/2010/wordprocessingShape">
                  <wps:wsp>
                    <wps:cNvCnPr/>
                    <wps:spPr>
                      <a:xfrm flipH="1">
                        <a:off x="0" y="0"/>
                        <a:ext cx="2093595"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 w14:anchorId="4CD1CAB8" id="8 Conector recto de flecha" o:spid="_x0000_s1026" type="#_x0000_t32" style="position:absolute;margin-left:323.45pt;margin-top:-56.9pt;width:164.85pt;height:0;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" strokecolor="#002060" strokeweight="2.25pt">
              <v:stroke startarrow="diamond" endarrow="diamond"/>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visibility:visible;mso-wrap-style:square" o:bullet="t">
        <v:imagedata r:id="rId1" o:title=""/>
      </v:shape>
    </w:pict>
  </w:numPicBullet>
  <w:abstractNum w:abstractNumId="0" w15:restartNumberingAfterBreak="0">
    <w:nsid w:val="004917E5"/>
    <w:multiLevelType w:val="multilevel"/>
    <w:tmpl w:val="AE04700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72A792E"/>
    <w:multiLevelType w:val="hybridMultilevel"/>
    <w:tmpl w:val="F458662A"/>
    <w:lvl w:ilvl="0" w:tplc="280A0017">
      <w:start w:val="1"/>
      <w:numFmt w:val="lowerLetter"/>
      <w:lvlText w:val="%1)"/>
      <w:lvlJc w:val="left"/>
      <w:pPr>
        <w:ind w:left="780" w:hanging="360"/>
      </w:pPr>
    </w:lvl>
    <w:lvl w:ilvl="1" w:tplc="280A0019" w:tentative="1">
      <w:start w:val="1"/>
      <w:numFmt w:val="lowerLetter"/>
      <w:lvlText w:val="%2."/>
      <w:lvlJc w:val="left"/>
      <w:pPr>
        <w:ind w:left="1500" w:hanging="360"/>
      </w:pPr>
    </w:lvl>
    <w:lvl w:ilvl="2" w:tplc="280A001B" w:tentative="1">
      <w:start w:val="1"/>
      <w:numFmt w:val="lowerRoman"/>
      <w:lvlText w:val="%3."/>
      <w:lvlJc w:val="right"/>
      <w:pPr>
        <w:ind w:left="2220" w:hanging="180"/>
      </w:pPr>
    </w:lvl>
    <w:lvl w:ilvl="3" w:tplc="280A000F" w:tentative="1">
      <w:start w:val="1"/>
      <w:numFmt w:val="decimal"/>
      <w:lvlText w:val="%4."/>
      <w:lvlJc w:val="left"/>
      <w:pPr>
        <w:ind w:left="2940" w:hanging="360"/>
      </w:pPr>
    </w:lvl>
    <w:lvl w:ilvl="4" w:tplc="280A0019" w:tentative="1">
      <w:start w:val="1"/>
      <w:numFmt w:val="lowerLetter"/>
      <w:lvlText w:val="%5."/>
      <w:lvlJc w:val="left"/>
      <w:pPr>
        <w:ind w:left="3660" w:hanging="360"/>
      </w:pPr>
    </w:lvl>
    <w:lvl w:ilvl="5" w:tplc="280A001B" w:tentative="1">
      <w:start w:val="1"/>
      <w:numFmt w:val="lowerRoman"/>
      <w:lvlText w:val="%6."/>
      <w:lvlJc w:val="right"/>
      <w:pPr>
        <w:ind w:left="4380" w:hanging="180"/>
      </w:pPr>
    </w:lvl>
    <w:lvl w:ilvl="6" w:tplc="280A000F" w:tentative="1">
      <w:start w:val="1"/>
      <w:numFmt w:val="decimal"/>
      <w:lvlText w:val="%7."/>
      <w:lvlJc w:val="left"/>
      <w:pPr>
        <w:ind w:left="5100" w:hanging="360"/>
      </w:pPr>
    </w:lvl>
    <w:lvl w:ilvl="7" w:tplc="280A0019" w:tentative="1">
      <w:start w:val="1"/>
      <w:numFmt w:val="lowerLetter"/>
      <w:lvlText w:val="%8."/>
      <w:lvlJc w:val="left"/>
      <w:pPr>
        <w:ind w:left="5820" w:hanging="360"/>
      </w:pPr>
    </w:lvl>
    <w:lvl w:ilvl="8" w:tplc="280A001B" w:tentative="1">
      <w:start w:val="1"/>
      <w:numFmt w:val="lowerRoman"/>
      <w:lvlText w:val="%9."/>
      <w:lvlJc w:val="right"/>
      <w:pPr>
        <w:ind w:left="6540" w:hanging="180"/>
      </w:pPr>
    </w:lvl>
  </w:abstractNum>
  <w:abstractNum w:abstractNumId="2" w15:restartNumberingAfterBreak="0">
    <w:nsid w:val="118725A0"/>
    <w:multiLevelType w:val="hybridMultilevel"/>
    <w:tmpl w:val="41A488A6"/>
    <w:lvl w:ilvl="0" w:tplc="4880CC40">
      <w:numFmt w:val="bullet"/>
      <w:lvlText w:val="-"/>
      <w:lvlJc w:val="left"/>
      <w:pPr>
        <w:ind w:left="1080" w:hanging="360"/>
      </w:pPr>
      <w:rPr>
        <w:rFonts w:ascii="Arial Narrow" w:eastAsia="Calibri" w:hAnsi="Arial Narrow"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1A062024"/>
    <w:multiLevelType w:val="hybridMultilevel"/>
    <w:tmpl w:val="8AB0EA20"/>
    <w:lvl w:ilvl="0" w:tplc="280A000F">
      <w:start w:val="1"/>
      <w:numFmt w:val="decimal"/>
      <w:lvlText w:val="%1."/>
      <w:lvlJc w:val="left"/>
      <w:pPr>
        <w:ind w:left="720" w:hanging="360"/>
      </w:pPr>
    </w:lvl>
    <w:lvl w:ilvl="1" w:tplc="95021608">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F000555"/>
    <w:multiLevelType w:val="hybridMultilevel"/>
    <w:tmpl w:val="237A7F4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DC5016"/>
    <w:multiLevelType w:val="hybridMultilevel"/>
    <w:tmpl w:val="BD1C7C32"/>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48C2C0B"/>
    <w:multiLevelType w:val="multilevel"/>
    <w:tmpl w:val="C2BAFD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A5216A4"/>
    <w:multiLevelType w:val="hybridMultilevel"/>
    <w:tmpl w:val="A67C6986"/>
    <w:lvl w:ilvl="0" w:tplc="AD46D1F6">
      <w:start w:val="1"/>
      <w:numFmt w:val="upperRoman"/>
      <w:pStyle w:val="Ttulo1"/>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14E2166"/>
    <w:multiLevelType w:val="hybridMultilevel"/>
    <w:tmpl w:val="AB9AAA24"/>
    <w:lvl w:ilvl="0" w:tplc="0444FE9E">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51D651A8"/>
    <w:multiLevelType w:val="hybridMultilevel"/>
    <w:tmpl w:val="5CD27386"/>
    <w:lvl w:ilvl="0" w:tplc="4330F7C0">
      <w:start w:val="1"/>
      <w:numFmt w:val="decimal"/>
      <w:lvlText w:val="%1."/>
      <w:lvlJc w:val="left"/>
      <w:pPr>
        <w:ind w:left="720" w:hanging="360"/>
      </w:pPr>
      <w:rPr>
        <w:rFonts w:ascii="Arial Narrow" w:hAnsi="Arial Narrow" w:hint="default"/>
        <w:b w:val="0"/>
        <w:i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97156F5"/>
    <w:multiLevelType w:val="multilevel"/>
    <w:tmpl w:val="894CAE98"/>
    <w:lvl w:ilvl="0">
      <w:start w:val="1"/>
      <w:numFmt w:val="decimal"/>
      <w:lvlText w:val="%1."/>
      <w:lvlJc w:val="left"/>
      <w:pPr>
        <w:ind w:left="720" w:hanging="360"/>
      </w:pPr>
    </w:lvl>
    <w:lvl w:ilvl="1">
      <w:start w:val="1"/>
      <w:numFmt w:val="decimal"/>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7F6B88"/>
    <w:multiLevelType w:val="hybridMultilevel"/>
    <w:tmpl w:val="3D96FA0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EA549E5"/>
    <w:multiLevelType w:val="multilevel"/>
    <w:tmpl w:val="42EA87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8798850">
    <w:abstractNumId w:val="5"/>
  </w:num>
  <w:num w:numId="2" w16cid:durableId="1376926998">
    <w:abstractNumId w:val="9"/>
  </w:num>
  <w:num w:numId="3" w16cid:durableId="1775856362">
    <w:abstractNumId w:val="4"/>
  </w:num>
  <w:num w:numId="4" w16cid:durableId="1994017986">
    <w:abstractNumId w:val="8"/>
  </w:num>
  <w:num w:numId="5" w16cid:durableId="208609788">
    <w:abstractNumId w:val="7"/>
  </w:num>
  <w:num w:numId="6" w16cid:durableId="222330568">
    <w:abstractNumId w:val="2"/>
  </w:num>
  <w:num w:numId="7" w16cid:durableId="1138065152">
    <w:abstractNumId w:val="6"/>
  </w:num>
  <w:num w:numId="8" w16cid:durableId="586232318">
    <w:abstractNumId w:val="0"/>
  </w:num>
  <w:num w:numId="9" w16cid:durableId="44456752">
    <w:abstractNumId w:val="12"/>
  </w:num>
  <w:num w:numId="10" w16cid:durableId="1151672191">
    <w:abstractNumId w:val="10"/>
  </w:num>
  <w:num w:numId="11" w16cid:durableId="223226923">
    <w:abstractNumId w:val="3"/>
  </w:num>
  <w:num w:numId="12" w16cid:durableId="1009332420">
    <w:abstractNumId w:val="1"/>
  </w:num>
  <w:num w:numId="13" w16cid:durableId="719552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69"/>
    <w:rsid w:val="00012A51"/>
    <w:rsid w:val="00247494"/>
    <w:rsid w:val="00287038"/>
    <w:rsid w:val="002E3589"/>
    <w:rsid w:val="00332DC2"/>
    <w:rsid w:val="0037169C"/>
    <w:rsid w:val="003B5A38"/>
    <w:rsid w:val="003C2886"/>
    <w:rsid w:val="003E7346"/>
    <w:rsid w:val="00483861"/>
    <w:rsid w:val="004857B0"/>
    <w:rsid w:val="004A066B"/>
    <w:rsid w:val="004B5EA4"/>
    <w:rsid w:val="004E5558"/>
    <w:rsid w:val="00543E79"/>
    <w:rsid w:val="005A67D4"/>
    <w:rsid w:val="005D0769"/>
    <w:rsid w:val="00614B08"/>
    <w:rsid w:val="00616EA7"/>
    <w:rsid w:val="006248A1"/>
    <w:rsid w:val="00701033"/>
    <w:rsid w:val="007F0E61"/>
    <w:rsid w:val="00810CB8"/>
    <w:rsid w:val="008427BE"/>
    <w:rsid w:val="00853DB6"/>
    <w:rsid w:val="008941FA"/>
    <w:rsid w:val="00901A26"/>
    <w:rsid w:val="009332CF"/>
    <w:rsid w:val="009410F5"/>
    <w:rsid w:val="00941262"/>
    <w:rsid w:val="00980868"/>
    <w:rsid w:val="009D15E2"/>
    <w:rsid w:val="009E1333"/>
    <w:rsid w:val="009E7497"/>
    <w:rsid w:val="00A02547"/>
    <w:rsid w:val="00A231DE"/>
    <w:rsid w:val="00A731F2"/>
    <w:rsid w:val="00A958DA"/>
    <w:rsid w:val="00AA584E"/>
    <w:rsid w:val="00AE34A7"/>
    <w:rsid w:val="00AE541D"/>
    <w:rsid w:val="00B1706F"/>
    <w:rsid w:val="00B50254"/>
    <w:rsid w:val="00B71F9E"/>
    <w:rsid w:val="00BC1B15"/>
    <w:rsid w:val="00BD193B"/>
    <w:rsid w:val="00BD5ED7"/>
    <w:rsid w:val="00BF3912"/>
    <w:rsid w:val="00C166AC"/>
    <w:rsid w:val="00C9135F"/>
    <w:rsid w:val="00D32F62"/>
    <w:rsid w:val="00DD3390"/>
    <w:rsid w:val="00E30EA9"/>
    <w:rsid w:val="00E37A71"/>
    <w:rsid w:val="00F13597"/>
    <w:rsid w:val="00F13866"/>
    <w:rsid w:val="00F164C0"/>
    <w:rsid w:val="00F831AB"/>
    <w:rsid w:val="00FC39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C860"/>
  <w15:docId w15:val="{0F652DE4-8F15-40CE-A94D-05F7C49F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69"/>
    <w:rPr>
      <w:rFonts w:ascii="Calibri" w:eastAsia="Calibri" w:hAnsi="Calibri" w:cs="Calibri"/>
      <w:lang w:eastAsia="es-PE"/>
    </w:rPr>
  </w:style>
  <w:style w:type="paragraph" w:styleId="Ttulo1">
    <w:name w:val="heading 1"/>
    <w:basedOn w:val="Normal"/>
    <w:next w:val="Normal"/>
    <w:link w:val="Ttulo1Car"/>
    <w:uiPriority w:val="9"/>
    <w:qFormat/>
    <w:rsid w:val="005D0769"/>
    <w:pPr>
      <w:keepNext/>
      <w:keepLines/>
      <w:numPr>
        <w:numId w:val="5"/>
      </w:numPr>
      <w:spacing w:before="480" w:after="0" w:line="480" w:lineRule="auto"/>
      <w:jc w:val="both"/>
      <w:outlineLvl w:val="0"/>
    </w:pPr>
    <w:rPr>
      <w:rFonts w:ascii="Arial Narrow" w:eastAsiaTheme="majorEastAsia" w:hAnsi="Arial Narrow" w:cstheme="majorBidi"/>
      <w:b/>
      <w:bCs/>
      <w:color w:val="000000" w:themeColor="text1"/>
      <w:sz w:val="24"/>
      <w:szCs w:val="28"/>
      <w:u w:val="single"/>
    </w:rPr>
  </w:style>
  <w:style w:type="paragraph" w:styleId="Ttulo7">
    <w:name w:val="heading 7"/>
    <w:basedOn w:val="Normal"/>
    <w:next w:val="Normal"/>
    <w:link w:val="Ttulo7Car"/>
    <w:uiPriority w:val="9"/>
    <w:unhideWhenUsed/>
    <w:qFormat/>
    <w:rsid w:val="005D07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0769"/>
    <w:rPr>
      <w:rFonts w:ascii="Arial Narrow" w:eastAsiaTheme="majorEastAsia" w:hAnsi="Arial Narrow" w:cstheme="majorBidi"/>
      <w:b/>
      <w:bCs/>
      <w:color w:val="000000" w:themeColor="text1"/>
      <w:sz w:val="24"/>
      <w:szCs w:val="28"/>
      <w:u w:val="single"/>
      <w:lang w:eastAsia="es-PE"/>
    </w:rPr>
  </w:style>
  <w:style w:type="character" w:customStyle="1" w:styleId="Ttulo7Car">
    <w:name w:val="Título 7 Car"/>
    <w:basedOn w:val="Fuentedeprrafopredeter"/>
    <w:link w:val="Ttulo7"/>
    <w:uiPriority w:val="9"/>
    <w:rsid w:val="005D0769"/>
    <w:rPr>
      <w:rFonts w:asciiTheme="majorHAnsi" w:eastAsiaTheme="majorEastAsia" w:hAnsiTheme="majorHAnsi" w:cstheme="majorBidi"/>
      <w:i/>
      <w:iCs/>
      <w:color w:val="404040" w:themeColor="text1" w:themeTint="BF"/>
      <w:lang w:eastAsia="es-PE"/>
    </w:rPr>
  </w:style>
  <w:style w:type="character" w:styleId="Hipervnculo">
    <w:name w:val="Hyperlink"/>
    <w:basedOn w:val="Fuentedeprrafopredeter"/>
    <w:uiPriority w:val="99"/>
    <w:unhideWhenUsed/>
    <w:rsid w:val="005D0769"/>
    <w:rPr>
      <w:color w:val="0000FF"/>
      <w:u w:val="single"/>
    </w:rPr>
  </w:style>
  <w:style w:type="paragraph" w:styleId="Prrafodelista">
    <w:name w:val="List Paragraph"/>
    <w:basedOn w:val="Normal"/>
    <w:uiPriority w:val="34"/>
    <w:qFormat/>
    <w:rsid w:val="005D0769"/>
    <w:pPr>
      <w:ind w:left="720"/>
      <w:contextualSpacing/>
    </w:pPr>
  </w:style>
  <w:style w:type="paragraph" w:styleId="Textonotapie">
    <w:name w:val="footnote text"/>
    <w:basedOn w:val="Normal"/>
    <w:link w:val="TextonotapieCar"/>
    <w:uiPriority w:val="99"/>
    <w:semiHidden/>
    <w:unhideWhenUsed/>
    <w:rsid w:val="005D07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0769"/>
    <w:rPr>
      <w:rFonts w:ascii="Calibri" w:eastAsia="Calibri" w:hAnsi="Calibri" w:cs="Calibri"/>
      <w:sz w:val="20"/>
      <w:szCs w:val="20"/>
      <w:lang w:eastAsia="es-PE"/>
    </w:rPr>
  </w:style>
  <w:style w:type="character" w:styleId="Refdenotaalpie">
    <w:name w:val="footnote reference"/>
    <w:basedOn w:val="Fuentedeprrafopredeter"/>
    <w:uiPriority w:val="99"/>
    <w:semiHidden/>
    <w:unhideWhenUsed/>
    <w:rsid w:val="005D0769"/>
    <w:rPr>
      <w:vertAlign w:val="superscript"/>
    </w:rPr>
  </w:style>
  <w:style w:type="table" w:styleId="Tablaconcuadrcula">
    <w:name w:val="Table Grid"/>
    <w:basedOn w:val="Tablanormal"/>
    <w:uiPriority w:val="59"/>
    <w:rsid w:val="005D0769"/>
    <w:pPr>
      <w:spacing w:after="0" w:line="240" w:lineRule="auto"/>
    </w:pPr>
    <w:rPr>
      <w:rFonts w:ascii="Calibri" w:eastAsia="Calibri" w:hAnsi="Calibri" w:cs="Calibri"/>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07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769"/>
    <w:rPr>
      <w:rFonts w:ascii="Calibri" w:eastAsia="Calibri" w:hAnsi="Calibri" w:cs="Calibri"/>
      <w:lang w:eastAsia="es-PE"/>
    </w:rPr>
  </w:style>
  <w:style w:type="paragraph" w:styleId="Piedepgina">
    <w:name w:val="footer"/>
    <w:basedOn w:val="Normal"/>
    <w:link w:val="PiedepginaCar"/>
    <w:uiPriority w:val="99"/>
    <w:unhideWhenUsed/>
    <w:rsid w:val="005D07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769"/>
    <w:rPr>
      <w:rFonts w:ascii="Calibri" w:eastAsia="Calibri" w:hAnsi="Calibri" w:cs="Calibri"/>
      <w:lang w:eastAsia="es-PE"/>
    </w:rPr>
  </w:style>
  <w:style w:type="paragraph" w:styleId="TtuloTDC">
    <w:name w:val="TOC Heading"/>
    <w:basedOn w:val="Ttulo1"/>
    <w:next w:val="Normal"/>
    <w:uiPriority w:val="39"/>
    <w:semiHidden/>
    <w:unhideWhenUsed/>
    <w:qFormat/>
    <w:rsid w:val="005D0769"/>
    <w:pPr>
      <w:numPr>
        <w:numId w:val="0"/>
      </w:numPr>
      <w:spacing w:line="276" w:lineRule="auto"/>
      <w:jc w:val="left"/>
      <w:outlineLvl w:val="9"/>
    </w:pPr>
    <w:rPr>
      <w:rFonts w:asciiTheme="majorHAnsi" w:hAnsiTheme="majorHAnsi"/>
      <w:color w:val="365F91" w:themeColor="accent1" w:themeShade="BF"/>
      <w:sz w:val="28"/>
      <w:u w:val="none"/>
    </w:rPr>
  </w:style>
  <w:style w:type="paragraph" w:styleId="TDC1">
    <w:name w:val="toc 1"/>
    <w:basedOn w:val="Normal"/>
    <w:next w:val="Normal"/>
    <w:autoRedefine/>
    <w:uiPriority w:val="39"/>
    <w:unhideWhenUsed/>
    <w:rsid w:val="005D076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2518">
      <w:bodyDiv w:val="1"/>
      <w:marLeft w:val="0"/>
      <w:marRight w:val="0"/>
      <w:marTop w:val="0"/>
      <w:marBottom w:val="0"/>
      <w:divBdr>
        <w:top w:val="none" w:sz="0" w:space="0" w:color="auto"/>
        <w:left w:val="none" w:sz="0" w:space="0" w:color="auto"/>
        <w:bottom w:val="none" w:sz="0" w:space="0" w:color="auto"/>
        <w:right w:val="none" w:sz="0" w:space="0" w:color="auto"/>
      </w:divBdr>
    </w:div>
    <w:div w:id="570576308">
      <w:bodyDiv w:val="1"/>
      <w:marLeft w:val="0"/>
      <w:marRight w:val="0"/>
      <w:marTop w:val="0"/>
      <w:marBottom w:val="0"/>
      <w:divBdr>
        <w:top w:val="none" w:sz="0" w:space="0" w:color="auto"/>
        <w:left w:val="none" w:sz="0" w:space="0" w:color="auto"/>
        <w:bottom w:val="none" w:sz="0" w:space="0" w:color="auto"/>
        <w:right w:val="none" w:sz="0" w:space="0" w:color="auto"/>
      </w:divBdr>
    </w:div>
    <w:div w:id="854684656">
      <w:bodyDiv w:val="1"/>
      <w:marLeft w:val="0"/>
      <w:marRight w:val="0"/>
      <w:marTop w:val="0"/>
      <w:marBottom w:val="0"/>
      <w:divBdr>
        <w:top w:val="none" w:sz="0" w:space="0" w:color="auto"/>
        <w:left w:val="none" w:sz="0" w:space="0" w:color="auto"/>
        <w:bottom w:val="none" w:sz="0" w:space="0" w:color="auto"/>
        <w:right w:val="none" w:sz="0" w:space="0" w:color="auto"/>
      </w:divBdr>
    </w:div>
    <w:div w:id="1520654683">
      <w:bodyDiv w:val="1"/>
      <w:marLeft w:val="0"/>
      <w:marRight w:val="0"/>
      <w:marTop w:val="0"/>
      <w:marBottom w:val="0"/>
      <w:divBdr>
        <w:top w:val="none" w:sz="0" w:space="0" w:color="auto"/>
        <w:left w:val="none" w:sz="0" w:space="0" w:color="auto"/>
        <w:bottom w:val="none" w:sz="0" w:space="0" w:color="auto"/>
        <w:right w:val="none" w:sz="0" w:space="0" w:color="auto"/>
      </w:divBdr>
    </w:div>
    <w:div w:id="159831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1902</Words>
  <Characters>10462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SECRETARIAARBITRAL</cp:lastModifiedBy>
  <cp:revision>6</cp:revision>
  <cp:lastPrinted>2025-04-10T22:18:00Z</cp:lastPrinted>
  <dcterms:created xsi:type="dcterms:W3CDTF">2025-07-15T20:40:00Z</dcterms:created>
  <dcterms:modified xsi:type="dcterms:W3CDTF">2025-12-05T16:32:00Z</dcterms:modified>
</cp:coreProperties>
</file>